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Nawet ponad 25 tys. zł miesięcznie dla doświadczonych specjalistów i specjalistek z branż IT, automatyki i telekomunikacji. Nowe dane No Fluff Jobs o polskim rynku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ofertach zatrudnienia na podstawie umowy o pracę mediany górnych widełek wynagrodzeń powyżej 20 tys. zł miesięcznie można znaleźć w branży IT, prawniczej i konsultingowej. W przypadku kontraktu B2B najwyższe wynagrodzenia są oferowane w IT, automatyce, telekomunikacji, mechanice i prawie. Możliwość pracy na B2B w ponad 60 proc. ogłoszeń oferują pracodawcy w sektorach takich jak IT, marketing, sprzedaż czy prawo. Chociaż w blisko połowie ogłoszeń z branży IT proponuje się możliwość pracy zdalnej, to w pozostałych branżach odsetek ten nie przekracza 30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</w:t>
      </w:r>
      <w:r>
        <w:rPr>
          <w:rFonts w:ascii="calibri" w:hAnsi="calibri" w:eastAsia="calibri" w:cs="calibri"/>
          <w:sz w:val="24"/>
          <w:szCs w:val="24"/>
          <w:b/>
        </w:rPr>
        <w:t xml:space="preserve">25 tys. zł netto (+VAT) miesięcznie na kontrakcie B2B</w:t>
      </w:r>
      <w:r>
        <w:rPr>
          <w:rFonts w:ascii="calibri" w:hAnsi="calibri" w:eastAsia="calibri" w:cs="calibri"/>
          <w:sz w:val="24"/>
          <w:szCs w:val="24"/>
        </w:rPr>
        <w:t xml:space="preserve"> mogą zarabiać </w:t>
      </w:r>
      <w:r>
        <w:rPr>
          <w:rFonts w:ascii="calibri" w:hAnsi="calibri" w:eastAsia="calibri" w:cs="calibri"/>
          <w:sz w:val="24"/>
          <w:szCs w:val="24"/>
          <w:b/>
        </w:rPr>
        <w:t xml:space="preserve">doświadczeni specjaliści i specjalistki</w:t>
      </w:r>
      <w:r>
        <w:rPr>
          <w:rFonts w:ascii="calibri" w:hAnsi="calibri" w:eastAsia="calibri" w:cs="calibri"/>
          <w:sz w:val="24"/>
          <w:szCs w:val="24"/>
        </w:rPr>
        <w:t xml:space="preserve"> w branżach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IT, automatyka i telekomunikacja</w:t>
      </w:r>
      <w:r>
        <w:rPr>
          <w:rFonts w:ascii="calibri" w:hAnsi="calibri" w:eastAsia="calibri" w:cs="calibri"/>
          <w:sz w:val="24"/>
          <w:szCs w:val="24"/>
        </w:rPr>
        <w:t xml:space="preserve">. Tyle wynoszą mediany górnych widełek wynagrodzeń, jak wynika z </w:t>
      </w:r>
      <w:r>
        <w:rPr>
          <w:rFonts w:ascii="calibri" w:hAnsi="calibri" w:eastAsia="calibri" w:cs="calibri"/>
          <w:sz w:val="24"/>
          <w:szCs w:val="24"/>
          <w:b/>
        </w:rPr>
        <w:t xml:space="preserve">najnowszego raportu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Rynek pracy w Polsce</w:t>
        </w:r>
      </w:hyperlink>
      <w:r>
        <w:rPr>
          <w:rFonts w:ascii="calibri" w:hAnsi="calibri" w:eastAsia="calibri" w:cs="calibri"/>
          <w:sz w:val="24"/>
          <w:szCs w:val="24"/>
        </w:rPr>
        <w:t xml:space="preserve"> od</w:t>
      </w:r>
      <w:r>
        <w:rPr>
          <w:rFonts w:ascii="calibri" w:hAnsi="calibri" w:eastAsia="calibri" w:cs="calibri"/>
          <w:sz w:val="24"/>
          <w:szCs w:val="24"/>
          <w:b/>
        </w:rPr>
        <w:t xml:space="preserve"> No Fluff Jobs</w:t>
      </w:r>
      <w:r>
        <w:rPr>
          <w:rFonts w:ascii="calibri" w:hAnsi="calibri" w:eastAsia="calibri" w:cs="calibri"/>
          <w:sz w:val="24"/>
          <w:szCs w:val="24"/>
        </w:rPr>
        <w:t xml:space="preserve">, polskiego portalu z ogłoszeniami, który od 10 lat ułatwia kandydatom i kandydatkom znalezienie pracy dopasowanej do ich oczekiwań finansowych. </w:t>
      </w:r>
      <w:r>
        <w:rPr>
          <w:rFonts w:ascii="calibri" w:hAnsi="calibri" w:eastAsia="calibri" w:cs="calibri"/>
          <w:sz w:val="24"/>
          <w:szCs w:val="24"/>
          <w:b/>
        </w:rPr>
        <w:t xml:space="preserve">Powyżej 20 tys. zł netto (+VAT)</w:t>
      </w:r>
      <w:r>
        <w:rPr>
          <w:rFonts w:ascii="calibri" w:hAnsi="calibri" w:eastAsia="calibri" w:cs="calibri"/>
          <w:sz w:val="24"/>
          <w:szCs w:val="24"/>
        </w:rPr>
        <w:t xml:space="preserve"> wynoszą mediany górnych widełek wynagrodzeń </w:t>
      </w:r>
      <w:r>
        <w:rPr>
          <w:rFonts w:ascii="calibri" w:hAnsi="calibri" w:eastAsia="calibri" w:cs="calibri"/>
          <w:sz w:val="24"/>
          <w:szCs w:val="24"/>
          <w:b/>
        </w:rPr>
        <w:t xml:space="preserve">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B2B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b/>
        </w:rPr>
        <w:t xml:space="preserve">mechanice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prawie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sprzedaży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konsultingu</w:t>
      </w:r>
      <w:r>
        <w:rPr>
          <w:rFonts w:ascii="calibri" w:hAnsi="calibri" w:eastAsia="calibri" w:cs="calibri"/>
          <w:sz w:val="24"/>
          <w:szCs w:val="24"/>
        </w:rPr>
        <w:t xml:space="preserve">. W przypadku ofert zatrudnienia</w:t>
      </w:r>
      <w:r>
        <w:rPr>
          <w:rFonts w:ascii="calibri" w:hAnsi="calibri" w:eastAsia="calibri" w:cs="calibri"/>
          <w:sz w:val="24"/>
          <w:szCs w:val="24"/>
          <w:b/>
        </w:rPr>
        <w:t xml:space="preserve"> na umowie o pracę</w:t>
      </w:r>
      <w:r>
        <w:rPr>
          <w:rFonts w:ascii="calibri" w:hAnsi="calibri" w:eastAsia="calibri" w:cs="calibri"/>
          <w:sz w:val="24"/>
          <w:szCs w:val="24"/>
        </w:rPr>
        <w:t xml:space="preserve">, kwoty na poziomie </w:t>
      </w:r>
      <w:r>
        <w:rPr>
          <w:rFonts w:ascii="calibri" w:hAnsi="calibri" w:eastAsia="calibri" w:cs="calibri"/>
          <w:sz w:val="24"/>
          <w:szCs w:val="24"/>
          <w:b/>
        </w:rPr>
        <w:t xml:space="preserve">co najmniej 20 tys. zł brutto w medianie górnych widełek</w:t>
      </w:r>
      <w:r>
        <w:rPr>
          <w:rFonts w:ascii="calibri" w:hAnsi="calibri" w:eastAsia="calibri" w:cs="calibri"/>
          <w:sz w:val="24"/>
          <w:szCs w:val="24"/>
        </w:rPr>
        <w:t xml:space="preserve"> można znaleźć tylko w </w:t>
      </w:r>
      <w:r>
        <w:rPr>
          <w:rFonts w:ascii="calibri" w:hAnsi="calibri" w:eastAsia="calibri" w:cs="calibri"/>
          <w:sz w:val="24"/>
          <w:szCs w:val="24"/>
          <w:b/>
        </w:rPr>
        <w:t xml:space="preserve">IT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branży prawniczej i konsultingowej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Umowy o dzieło odchodzą do lamusa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Dostępność zatrudnienia na podstawie różnego typu umów zależy od branży. </w:t>
      </w:r>
      <w:r>
        <w:rPr>
          <w:rFonts w:ascii="calibri" w:hAnsi="calibri" w:eastAsia="calibri" w:cs="calibri"/>
          <w:sz w:val="24"/>
          <w:szCs w:val="24"/>
          <w:b/>
        </w:rPr>
        <w:t xml:space="preserve">Kontrakt B2B </w:t>
      </w:r>
      <w:r>
        <w:rPr>
          <w:rFonts w:ascii="calibri" w:hAnsi="calibri" w:eastAsia="calibri" w:cs="calibri"/>
          <w:sz w:val="24"/>
          <w:szCs w:val="24"/>
        </w:rPr>
        <w:t xml:space="preserve">jest oferowany w większości ogłoszeń o pracy w sektorach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IT </w:t>
      </w:r>
      <w:r>
        <w:rPr>
          <w:rFonts w:ascii="calibri" w:hAnsi="calibri" w:eastAsia="calibri" w:cs="calibri"/>
          <w:sz w:val="24"/>
          <w:szCs w:val="24"/>
        </w:rPr>
        <w:t xml:space="preserve">(</w:t>
      </w:r>
      <w:r>
        <w:rPr>
          <w:rFonts w:ascii="calibri" w:hAnsi="calibri" w:eastAsia="calibri" w:cs="calibri"/>
          <w:sz w:val="24"/>
          <w:szCs w:val="24"/>
          <w:b/>
        </w:rPr>
        <w:t xml:space="preserve">69 proc.</w:t>
      </w:r>
      <w:r>
        <w:rPr>
          <w:rFonts w:ascii="calibri" w:hAnsi="calibri" w:eastAsia="calibri" w:cs="calibri"/>
          <w:sz w:val="24"/>
          <w:szCs w:val="24"/>
        </w:rPr>
        <w:t xml:space="preserve"> ogłoszeń),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  <w:b/>
        </w:rPr>
        <w:t xml:space="preserve">64 proc.</w:t>
      </w:r>
      <w:r>
        <w:rPr>
          <w:rFonts w:ascii="calibri" w:hAnsi="calibri" w:eastAsia="calibri" w:cs="calibri"/>
          <w:sz w:val="24"/>
          <w:szCs w:val="24"/>
        </w:rPr>
        <w:t xml:space="preserve">), </w:t>
      </w:r>
      <w:r>
        <w:rPr>
          <w:rFonts w:ascii="calibri" w:hAnsi="calibri" w:eastAsia="calibri" w:cs="calibri"/>
          <w:sz w:val="24"/>
          <w:szCs w:val="24"/>
          <w:b/>
        </w:rPr>
        <w:t xml:space="preserve">sprzedaż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  <w:b/>
        </w:rPr>
        <w:t xml:space="preserve">61 proc.</w:t>
      </w:r>
      <w:r>
        <w:rPr>
          <w:rFonts w:ascii="calibri" w:hAnsi="calibri" w:eastAsia="calibri" w:cs="calibri"/>
          <w:sz w:val="24"/>
          <w:szCs w:val="24"/>
        </w:rPr>
        <w:t xml:space="preserve">) czy </w:t>
      </w:r>
      <w:r>
        <w:rPr>
          <w:rFonts w:ascii="calibri" w:hAnsi="calibri" w:eastAsia="calibri" w:cs="calibri"/>
          <w:sz w:val="24"/>
          <w:szCs w:val="24"/>
          <w:b/>
        </w:rPr>
        <w:t xml:space="preserve">prawo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  <w:b/>
        </w:rPr>
        <w:t xml:space="preserve">55 proc.</w:t>
      </w:r>
      <w:r>
        <w:rPr>
          <w:rFonts w:ascii="calibri" w:hAnsi="calibri" w:eastAsia="calibri" w:cs="calibri"/>
          <w:sz w:val="24"/>
          <w:szCs w:val="24"/>
        </w:rPr>
        <w:t xml:space="preserve">). Z kolei w </w:t>
      </w:r>
      <w:r>
        <w:rPr>
          <w:rFonts w:ascii="calibri" w:hAnsi="calibri" w:eastAsia="calibri" w:cs="calibri"/>
          <w:sz w:val="24"/>
          <w:szCs w:val="24"/>
          <w:b/>
        </w:rPr>
        <w:t xml:space="preserve">logistyce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inżynierii elektrycznej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HR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finansach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mechanice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ponad 90 proc. ogłoszeń oferuje zatrudnienie na umowie o pracę</w:t>
      </w:r>
      <w:r>
        <w:rPr>
          <w:rFonts w:ascii="calibri" w:hAnsi="calibri" w:eastAsia="calibri" w:cs="calibri"/>
          <w:sz w:val="24"/>
          <w:szCs w:val="24"/>
        </w:rPr>
        <w:t xml:space="preserve">. Wciąż popularne są </w:t>
      </w:r>
      <w:r>
        <w:rPr>
          <w:rFonts w:ascii="calibri" w:hAnsi="calibri" w:eastAsia="calibri" w:cs="calibri"/>
          <w:sz w:val="24"/>
          <w:szCs w:val="24"/>
          <w:b/>
        </w:rPr>
        <w:t xml:space="preserve">umowy zlecenia</w:t>
      </w:r>
      <w:r>
        <w:rPr>
          <w:rFonts w:ascii="calibri" w:hAnsi="calibri" w:eastAsia="calibri" w:cs="calibri"/>
          <w:sz w:val="24"/>
          <w:szCs w:val="24"/>
        </w:rPr>
        <w:t xml:space="preserve"> – w </w:t>
      </w:r>
      <w:r>
        <w:rPr>
          <w:rFonts w:ascii="calibri" w:hAnsi="calibri" w:eastAsia="calibri" w:cs="calibri"/>
          <w:sz w:val="24"/>
          <w:szCs w:val="24"/>
          <w:b/>
        </w:rPr>
        <w:t xml:space="preserve">obsłudze klienta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sprzedaży</w:t>
      </w:r>
      <w:r>
        <w:rPr>
          <w:rFonts w:ascii="calibri" w:hAnsi="calibri" w:eastAsia="calibri" w:cs="calibri"/>
          <w:sz w:val="24"/>
          <w:szCs w:val="24"/>
        </w:rPr>
        <w:t xml:space="preserve"> wspomina się o nich w </w:t>
      </w:r>
      <w:r>
        <w:rPr>
          <w:rFonts w:ascii="calibri" w:hAnsi="calibri" w:eastAsia="calibri" w:cs="calibri"/>
          <w:sz w:val="24"/>
          <w:szCs w:val="24"/>
          <w:b/>
        </w:rPr>
        <w:t xml:space="preserve">20-25 proc.</w:t>
      </w:r>
      <w:r>
        <w:rPr>
          <w:rFonts w:ascii="calibri" w:hAnsi="calibri" w:eastAsia="calibri" w:cs="calibri"/>
          <w:sz w:val="24"/>
          <w:szCs w:val="24"/>
        </w:rPr>
        <w:t xml:space="preserve"> ogłoszeń.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umowy o dzieło </w:t>
      </w:r>
      <w:r>
        <w:rPr>
          <w:rFonts w:ascii="calibri" w:hAnsi="calibri" w:eastAsia="calibri" w:cs="calibri"/>
          <w:sz w:val="24"/>
          <w:szCs w:val="24"/>
        </w:rPr>
        <w:t xml:space="preserve">wymieniane są bardzo rzadko. W sprzedaży i marketingu można na nie trafić w kilku procentach ogłoszeń, a w innych branżach odsetek ten</w:t>
      </w:r>
      <w:r>
        <w:rPr>
          <w:rFonts w:ascii="calibri" w:hAnsi="calibri" w:eastAsia="calibri" w:cs="calibri"/>
          <w:sz w:val="24"/>
          <w:szCs w:val="24"/>
          <w:b/>
        </w:rPr>
        <w:t xml:space="preserve"> nie przekracza 1 proc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Odsetek ofert pracy zdalnej i hybrydowej najczęściej nie przekracza 30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Niezmiennie utrzymuje się trend odchodzenia firm od pracy zdalnej, choć tutaj duże znaczenie ma też specyfika poszczególnych profesji – niektórych prac nie da się wykonywać inaczej, niż w siedzibie firmy. Wśród wszystkich analizowanych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tylko w IT wciąż można znaleźć wysoki odsetek ogłoszeń oferujących pracę inną niż stacjonarna</w:t>
      </w:r>
      <w:r>
        <w:rPr>
          <w:rFonts w:ascii="calibri" w:hAnsi="calibri" w:eastAsia="calibri" w:cs="calibri"/>
          <w:sz w:val="24"/>
          <w:szCs w:val="24"/>
        </w:rPr>
        <w:t xml:space="preserve"> – w prawie co drugim ogłoszeniu (48 proc.) wspomina się o możliwości wykonywania obowiązków zdalnie. Drugie miejsce pod tym względem zajmuje </w:t>
      </w:r>
      <w:r>
        <w:rPr>
          <w:rFonts w:ascii="calibri" w:hAnsi="calibri" w:eastAsia="calibri" w:cs="calibri"/>
          <w:sz w:val="24"/>
          <w:szCs w:val="24"/>
          <w:b/>
        </w:rPr>
        <w:t xml:space="preserve">telekomunikacja</w:t>
      </w:r>
      <w:r>
        <w:rPr>
          <w:rFonts w:ascii="calibri" w:hAnsi="calibri" w:eastAsia="calibri" w:cs="calibri"/>
          <w:sz w:val="24"/>
          <w:szCs w:val="24"/>
        </w:rPr>
        <w:t xml:space="preserve">, ale odsetek ofert z możliwością pracy zdalnej jest tu już sporo niższy i wynosi 29 proc. Kolejny jest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</w:t>
      </w:r>
      <w:r>
        <w:rPr>
          <w:rFonts w:ascii="calibri" w:hAnsi="calibri" w:eastAsia="calibri" w:cs="calibri"/>
          <w:sz w:val="24"/>
          <w:szCs w:val="24"/>
        </w:rPr>
        <w:t xml:space="preserve"> (26 proc.), następnie </w:t>
      </w:r>
      <w:r>
        <w:rPr>
          <w:rFonts w:ascii="calibri" w:hAnsi="calibri" w:eastAsia="calibri" w:cs="calibri"/>
          <w:sz w:val="24"/>
          <w:szCs w:val="24"/>
          <w:b/>
        </w:rPr>
        <w:t xml:space="preserve">sprzedaż</w:t>
      </w:r>
      <w:r>
        <w:rPr>
          <w:rFonts w:ascii="calibri" w:hAnsi="calibri" w:eastAsia="calibri" w:cs="calibri"/>
          <w:sz w:val="24"/>
          <w:szCs w:val="24"/>
        </w:rPr>
        <w:t xml:space="preserve"> (18 proc.) i </w:t>
      </w:r>
      <w:r>
        <w:rPr>
          <w:rFonts w:ascii="calibri" w:hAnsi="calibri" w:eastAsia="calibri" w:cs="calibri"/>
          <w:sz w:val="24"/>
          <w:szCs w:val="24"/>
          <w:b/>
        </w:rPr>
        <w:t xml:space="preserve">konsulting</w:t>
      </w:r>
      <w:r>
        <w:rPr>
          <w:rFonts w:ascii="calibri" w:hAnsi="calibri" w:eastAsia="calibri" w:cs="calibri"/>
          <w:sz w:val="24"/>
          <w:szCs w:val="24"/>
        </w:rPr>
        <w:t xml:space="preserve"> (15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Jeszcze 2-3 lata temu, gdy wciąż przyzwyczajaliśmy się do rzeczywistości postpandemicznej, praca zdalna wydawała się naturalnym kierunkiem, który zostanie z nami na dłużej. Tymczasem w branżach, gdzie przejście na taki tryb zostało wymuszone właśnie sytuacją na świecie, firmy chętniej wracają do stanu sprzed pandemii i zapraszają do biur. W branży IT, gdzie praca zdalna cieszyła się dużą popularnością już wcześniej, odsetek oferujących ją ogłoszeń pozostaje wysoki i sięga prawie 50 proc. Dodatkowo specyfika pracy w IT sprzyja pracy zdalnej, a wiele procesów zostało sprawnie zdigitalizowanych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Paulina Król, Chief People and Operations Officer w No Fluff Jobs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najwięcej ofert z możliwością </w:t>
      </w:r>
      <w:r>
        <w:rPr>
          <w:rFonts w:ascii="calibri" w:hAnsi="calibri" w:eastAsia="calibri" w:cs="calibri"/>
          <w:sz w:val="24"/>
          <w:szCs w:val="24"/>
          <w:b/>
        </w:rPr>
        <w:t xml:space="preserve">pracy hybrydowej </w:t>
      </w:r>
      <w:r>
        <w:rPr>
          <w:rFonts w:ascii="calibri" w:hAnsi="calibri" w:eastAsia="calibri" w:cs="calibri"/>
          <w:sz w:val="24"/>
          <w:szCs w:val="24"/>
        </w:rPr>
        <w:t xml:space="preserve">można znaleźć w </w:t>
      </w:r>
      <w:r>
        <w:rPr>
          <w:rFonts w:ascii="calibri" w:hAnsi="calibri" w:eastAsia="calibri" w:cs="calibri"/>
          <w:sz w:val="24"/>
          <w:szCs w:val="24"/>
          <w:b/>
        </w:rPr>
        <w:t xml:space="preserve">konsultingu</w:t>
      </w:r>
      <w:r>
        <w:rPr>
          <w:rFonts w:ascii="calibri" w:hAnsi="calibri" w:eastAsia="calibri" w:cs="calibri"/>
          <w:sz w:val="24"/>
          <w:szCs w:val="24"/>
        </w:rPr>
        <w:t xml:space="preserve"> (39 proc.), </w:t>
      </w:r>
      <w:r>
        <w:rPr>
          <w:rFonts w:ascii="calibri" w:hAnsi="calibri" w:eastAsia="calibri" w:cs="calibri"/>
          <w:sz w:val="24"/>
          <w:szCs w:val="24"/>
          <w:b/>
        </w:rPr>
        <w:t xml:space="preserve">finansach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telekomunikacji</w:t>
      </w:r>
      <w:r>
        <w:rPr>
          <w:rFonts w:ascii="calibri" w:hAnsi="calibri" w:eastAsia="calibri" w:cs="calibri"/>
          <w:sz w:val="24"/>
          <w:szCs w:val="24"/>
        </w:rPr>
        <w:t xml:space="preserve"> (po 29 proc.),</w:t>
      </w:r>
      <w:r>
        <w:rPr>
          <w:rFonts w:ascii="calibri" w:hAnsi="calibri" w:eastAsia="calibri" w:cs="calibri"/>
          <w:sz w:val="24"/>
          <w:szCs w:val="24"/>
          <w:b/>
        </w:rPr>
        <w:t xml:space="preserve"> zawodach prawniczych </w:t>
      </w:r>
      <w:r>
        <w:rPr>
          <w:rFonts w:ascii="calibri" w:hAnsi="calibri" w:eastAsia="calibri" w:cs="calibri"/>
          <w:sz w:val="24"/>
          <w:szCs w:val="24"/>
        </w:rPr>
        <w:t xml:space="preserve">(28 proc.) oraz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marketingu</w:t>
      </w:r>
      <w:r>
        <w:rPr>
          <w:rFonts w:ascii="calibri" w:hAnsi="calibri" w:eastAsia="calibri" w:cs="calibri"/>
          <w:sz w:val="24"/>
          <w:szCs w:val="24"/>
        </w:rPr>
        <w:t xml:space="preserve"> (27 proc.). Jeśli chodzi o </w:t>
      </w:r>
      <w:r>
        <w:rPr>
          <w:rFonts w:ascii="calibri" w:hAnsi="calibri" w:eastAsia="calibri" w:cs="calibri"/>
          <w:sz w:val="24"/>
          <w:szCs w:val="24"/>
          <w:b/>
        </w:rPr>
        <w:t xml:space="preserve">pracę stacjonarną</w:t>
      </w:r>
      <w:r>
        <w:rPr>
          <w:rFonts w:ascii="calibri" w:hAnsi="calibri" w:eastAsia="calibri" w:cs="calibri"/>
          <w:sz w:val="24"/>
          <w:szCs w:val="24"/>
        </w:rPr>
        <w:t xml:space="preserve">, to w trzech kategoriach przekracza ona odsetek 90 proc. ofert. Mowa o </w:t>
      </w:r>
      <w:r>
        <w:rPr>
          <w:rFonts w:ascii="calibri" w:hAnsi="calibri" w:eastAsia="calibri" w:cs="calibri"/>
          <w:sz w:val="24"/>
          <w:szCs w:val="24"/>
          <w:b/>
        </w:rPr>
        <w:t xml:space="preserve">inżynierii elektrycznej </w:t>
      </w:r>
      <w:r>
        <w:rPr>
          <w:rFonts w:ascii="calibri" w:hAnsi="calibri" w:eastAsia="calibri" w:cs="calibri"/>
          <w:sz w:val="24"/>
          <w:szCs w:val="24"/>
        </w:rPr>
        <w:t xml:space="preserve">(94 proc.), </w:t>
      </w:r>
      <w:r>
        <w:rPr>
          <w:rFonts w:ascii="calibri" w:hAnsi="calibri" w:eastAsia="calibri" w:cs="calibri"/>
          <w:sz w:val="24"/>
          <w:szCs w:val="24"/>
          <w:b/>
        </w:rPr>
        <w:t xml:space="preserve">mechanice</w:t>
      </w:r>
      <w:r>
        <w:rPr>
          <w:rFonts w:ascii="calibri" w:hAnsi="calibri" w:eastAsia="calibri" w:cs="calibri"/>
          <w:sz w:val="24"/>
          <w:szCs w:val="24"/>
        </w:rPr>
        <w:t xml:space="preserve"> (93 proc.) oraz </w:t>
      </w:r>
      <w:r>
        <w:rPr>
          <w:rFonts w:ascii="calibri" w:hAnsi="calibri" w:eastAsia="calibri" w:cs="calibri"/>
          <w:sz w:val="24"/>
          <w:szCs w:val="24"/>
          <w:b/>
        </w:rPr>
        <w:t xml:space="preserve">automatyce </w:t>
      </w:r>
      <w:r>
        <w:rPr>
          <w:rFonts w:ascii="calibri" w:hAnsi="calibri" w:eastAsia="calibri" w:cs="calibri"/>
          <w:sz w:val="24"/>
          <w:szCs w:val="24"/>
        </w:rPr>
        <w:t xml:space="preserve">(91 proc.). W administracji biurowej jest to 82 proc., a w logistyce – 80 proc.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pochodzą z portalu No Fluff Jobs i dotyczą 3. kwartału 2024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rynek-pracy-w-polsce/?utm_source=pr&amp;amp;amp;utm_medium=article&amp;amp;amp;utm_campaign=rynek_pracy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2026-08-24T08:40:32+02:00</dcterms:created>
  <dcterms:modified xsi:type="dcterms:W3CDTF">2026-08-24T08:40:32+02:00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