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Tylko 18 proc. polskich pracowników i pracowniczek zna warunki awansów i podwyżek w swoich firmach. Co trzecia osoba ma od pracodawcy zapewnioną możliwość szkoleń i rozwoju. Nowe dane No Fluff Jobs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Tylko ⅓ osób pracujących w Polsce twierdzi, że obecny pracodawca oferuje im możliwość szkoleń i rozwoju zawodowego. Wśród benefitów pozapłacowych w 41 proc. ogłoszeń o pracy wymieniany jest budżet szkoleniowy, jak wynika z danych No Fluff Jobs. Coraz częściej pracodawcy oferują kandydatom i kandydatkom możliwość skorzystania z ubezpieczenia na życie – odsetek ogłoszeń zawierających informację o takim beneficie wynosi 24 proc. i od początku roku wzrósł o 6 punktów procentowych.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Zaledwie </w:t>
      </w:r>
      <w:r>
        <w:rPr>
          <w:rFonts w:ascii="calibri" w:hAnsi="calibri" w:eastAsia="calibri" w:cs="calibri"/>
          <w:sz w:val="24"/>
          <w:szCs w:val="24"/>
          <w:b/>
        </w:rPr>
        <w:t xml:space="preserve">18 proc.</w:t>
      </w:r>
      <w:r>
        <w:rPr>
          <w:rFonts w:ascii="calibri" w:hAnsi="calibri" w:eastAsia="calibri" w:cs="calibri"/>
          <w:sz w:val="24"/>
          <w:szCs w:val="24"/>
        </w:rPr>
        <w:t xml:space="preserve"> pracowników i pracowniczek </w:t>
      </w:r>
      <w:r>
        <w:rPr>
          <w:rFonts w:ascii="calibri" w:hAnsi="calibri" w:eastAsia="calibri" w:cs="calibri"/>
          <w:sz w:val="24"/>
          <w:szCs w:val="24"/>
          <w:b/>
        </w:rPr>
        <w:t xml:space="preserve">ma dostęp do informacji o ścieżce kariery</w:t>
      </w:r>
      <w:r>
        <w:rPr>
          <w:rFonts w:ascii="calibri" w:hAnsi="calibri" w:eastAsia="calibri" w:cs="calibri"/>
          <w:sz w:val="24"/>
          <w:szCs w:val="24"/>
        </w:rPr>
        <w:t xml:space="preserve"> w swojej obecnej pracy, zna warunki awansu i/lub podwyżki, jak wynika z najnowszego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raportu No Fluff Jobs</w:t>
        </w:r>
      </w:hyperlink>
      <w:r>
        <w:rPr>
          <w:rFonts w:ascii="calibri" w:hAnsi="calibri" w:eastAsia="calibri" w:cs="calibri"/>
          <w:sz w:val="24"/>
          <w:szCs w:val="24"/>
        </w:rPr>
        <w:t xml:space="preserve">, polskiego portalu z ogłoszeniami, który od 10 lat ułatwia kandydatom i kandydatkom znalezienie pracy dopasowanej do ich oczekiwań finansowych. Tylko </w:t>
      </w:r>
      <w:r>
        <w:rPr>
          <w:rFonts w:ascii="calibri" w:hAnsi="calibri" w:eastAsia="calibri" w:cs="calibri"/>
          <w:sz w:val="24"/>
          <w:szCs w:val="24"/>
          <w:b/>
        </w:rPr>
        <w:t xml:space="preserve">34 proc. </w:t>
      </w:r>
      <w:r>
        <w:rPr>
          <w:rFonts w:ascii="calibri" w:hAnsi="calibri" w:eastAsia="calibri" w:cs="calibri"/>
          <w:sz w:val="24"/>
          <w:szCs w:val="24"/>
        </w:rPr>
        <w:t xml:space="preserve">zatrudnionych, pytanych o to, co oferuje im obecny pracodawca, wskazuje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szkoleń i rozwoju zawodowego</w:t>
      </w:r>
      <w:r>
        <w:rPr>
          <w:rFonts w:ascii="calibri" w:hAnsi="calibri" w:eastAsia="calibri" w:cs="calibri"/>
          <w:sz w:val="24"/>
          <w:szCs w:val="24"/>
        </w:rPr>
        <w:t xml:space="preserve">. Z elastycznych godzin pracy może korzystać 30 proc. badanych, 17 proc. ma możliwość wyboru trybu pracy (zdalnego, hybrydowego lub stacjonarnego), a zaledwie 9 proc. mogło przy zatrudnianiu wybrać typ umowy. Najwięcej badanych – </w:t>
      </w:r>
      <w:r>
        <w:rPr>
          <w:rFonts w:ascii="calibri" w:hAnsi="calibri" w:eastAsia="calibri" w:cs="calibri"/>
          <w:sz w:val="24"/>
          <w:szCs w:val="24"/>
          <w:b/>
        </w:rPr>
        <w:t xml:space="preserve">38 proc</w:t>
      </w:r>
      <w:r>
        <w:rPr>
          <w:rFonts w:ascii="calibri" w:hAnsi="calibri" w:eastAsia="calibri" w:cs="calibri"/>
          <w:sz w:val="24"/>
          <w:szCs w:val="24"/>
        </w:rPr>
        <w:t xml:space="preserve">. – wskazało odpowiedź „</w:t>
      </w:r>
      <w:r>
        <w:rPr>
          <w:rFonts w:ascii="calibri" w:hAnsi="calibri" w:eastAsia="calibri" w:cs="calibri"/>
          <w:sz w:val="24"/>
          <w:szCs w:val="24"/>
          <w:b/>
        </w:rPr>
        <w:t xml:space="preserve">żadne z powyższych</w:t>
      </w:r>
      <w:r>
        <w:rPr>
          <w:rFonts w:ascii="calibri" w:hAnsi="calibri" w:eastAsia="calibri" w:cs="calibri"/>
          <w:sz w:val="24"/>
          <w:szCs w:val="24"/>
        </w:rPr>
        <w:t xml:space="preserve">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 każdym badaniu No Fluff Jobs, w którym pytamy o najważniejsze aspekty pracy, na górze zestawienia pojawiają się: wynagrodzenie i możliwości rozwoju. Tymczasem niewielki odsetek pracujących Polek i Polaków ma dostęp do informacji m.in. o oferowanym wynagrodzeniu, ścieżce kariery czy budżecie rozwojowym. Powodów może być kilka: niektóre firmy szukają w ten sposób oszczędności w trudniejszych czasach, inne może dopiero zaczynają porządkować swoje procesy i dbać o doświadczenia pracowników i pracowniczek. Inwestowanie w rozwój i dobrostan pracownika to także inwestowanie w organizację, która zyskuje nowe kompetencje i zmniejsza ryzyko rotacji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Tomasz Bujok, CEO w No Fluff Jobs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Ubezpieczenie na życie coraz popularniejszym benefitem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lat do najczęściej oferowanym przez pracodawców benefitem – i jednocześnie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najbardziej pożądanym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przez pracowników i pracowniczki – jest </w:t>
      </w:r>
      <w:r>
        <w:rPr>
          <w:rFonts w:ascii="calibri" w:hAnsi="calibri" w:eastAsia="calibri" w:cs="calibri"/>
          <w:sz w:val="24"/>
          <w:szCs w:val="24"/>
          <w:b/>
        </w:rPr>
        <w:t xml:space="preserve">prywatna opieka medyczna</w:t>
      </w:r>
      <w:r>
        <w:rPr>
          <w:rFonts w:ascii="calibri" w:hAnsi="calibri" w:eastAsia="calibri" w:cs="calibri"/>
          <w:sz w:val="24"/>
          <w:szCs w:val="24"/>
        </w:rPr>
        <w:t xml:space="preserve">. Według danych No Fluff Jobs pojawia się w </w:t>
      </w:r>
      <w:r>
        <w:rPr>
          <w:rFonts w:ascii="calibri" w:hAnsi="calibri" w:eastAsia="calibri" w:cs="calibri"/>
          <w:sz w:val="24"/>
          <w:szCs w:val="24"/>
          <w:b/>
        </w:rPr>
        <w:t xml:space="preserve">73 proc.</w:t>
      </w:r>
      <w:r>
        <w:rPr>
          <w:rFonts w:ascii="calibri" w:hAnsi="calibri" w:eastAsia="calibri" w:cs="calibri"/>
          <w:sz w:val="24"/>
          <w:szCs w:val="24"/>
        </w:rPr>
        <w:t xml:space="preserve"> ogłoszeń. W blisko </w:t>
      </w:r>
      <w:r>
        <w:rPr>
          <w:rFonts w:ascii="calibri" w:hAnsi="calibri" w:eastAsia="calibri" w:cs="calibri"/>
          <w:sz w:val="24"/>
          <w:szCs w:val="24"/>
          <w:b/>
        </w:rPr>
        <w:t xml:space="preserve">60 proc.</w:t>
      </w:r>
      <w:r>
        <w:rPr>
          <w:rFonts w:ascii="calibri" w:hAnsi="calibri" w:eastAsia="calibri" w:cs="calibri"/>
          <w:sz w:val="24"/>
          <w:szCs w:val="24"/>
        </w:rPr>
        <w:t xml:space="preserve"> ofert pracy wymieniana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karta subskrypcyjna na zajęcia sportowe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Jednak, patrząc całościowo na rynek, firmy nie oferują zbyt wielu świadczeń pozapłacowych. Trzeci co do popularności benefit – </w:t>
      </w:r>
      <w:r>
        <w:rPr>
          <w:rFonts w:ascii="calibri" w:hAnsi="calibri" w:eastAsia="calibri" w:cs="calibri"/>
          <w:sz w:val="24"/>
          <w:szCs w:val="24"/>
          <w:b/>
        </w:rPr>
        <w:t xml:space="preserve">budżet szkoleniowy</w:t>
      </w:r>
      <w:r>
        <w:rPr>
          <w:rFonts w:ascii="calibri" w:hAnsi="calibri" w:eastAsia="calibri" w:cs="calibri"/>
          <w:sz w:val="24"/>
          <w:szCs w:val="24"/>
        </w:rPr>
        <w:t xml:space="preserve"> – można znaleźć w </w:t>
      </w:r>
      <w:r>
        <w:rPr>
          <w:rFonts w:ascii="calibri" w:hAnsi="calibri" w:eastAsia="calibri" w:cs="calibri"/>
          <w:sz w:val="24"/>
          <w:szCs w:val="24"/>
          <w:b/>
        </w:rPr>
        <w:t xml:space="preserve">41 proc. </w:t>
      </w:r>
      <w:r>
        <w:rPr>
          <w:rFonts w:ascii="calibri" w:hAnsi="calibri" w:eastAsia="calibri" w:cs="calibri"/>
          <w:sz w:val="24"/>
          <w:szCs w:val="24"/>
        </w:rPr>
        <w:t xml:space="preserve">ogłoszeń o pracy. Kolejne miejsca zajmują: </w:t>
      </w:r>
      <w:r>
        <w:rPr>
          <w:rFonts w:ascii="calibri" w:hAnsi="calibri" w:eastAsia="calibri" w:cs="calibri"/>
          <w:sz w:val="24"/>
          <w:szCs w:val="24"/>
          <w:b/>
        </w:rPr>
        <w:t xml:space="preserve">praca w małym zespole</w:t>
      </w:r>
      <w:r>
        <w:rPr>
          <w:rFonts w:ascii="calibri" w:hAnsi="calibri" w:eastAsia="calibri" w:cs="calibri"/>
          <w:sz w:val="24"/>
          <w:szCs w:val="24"/>
        </w:rPr>
        <w:t xml:space="preserve"> (29,5 proc.), </w:t>
      </w:r>
      <w:r>
        <w:rPr>
          <w:rFonts w:ascii="calibri" w:hAnsi="calibri" w:eastAsia="calibri" w:cs="calibri"/>
          <w:sz w:val="24"/>
          <w:szCs w:val="24"/>
          <w:b/>
        </w:rPr>
        <w:t xml:space="preserve">ubezpieczenie na życie</w:t>
      </w:r>
      <w:r>
        <w:rPr>
          <w:rFonts w:ascii="calibri" w:hAnsi="calibri" w:eastAsia="calibri" w:cs="calibri"/>
          <w:sz w:val="24"/>
          <w:szCs w:val="24"/>
        </w:rPr>
        <w:t xml:space="preserve"> (24 proc.),</w:t>
      </w:r>
      <w:r>
        <w:rPr>
          <w:rFonts w:ascii="calibri" w:hAnsi="calibri" w:eastAsia="calibri" w:cs="calibri"/>
          <w:sz w:val="24"/>
          <w:szCs w:val="24"/>
          <w:b/>
        </w:rPr>
        <w:t xml:space="preserve"> lekcje językowe</w:t>
      </w:r>
      <w:r>
        <w:rPr>
          <w:rFonts w:ascii="calibri" w:hAnsi="calibri" w:eastAsia="calibri" w:cs="calibri"/>
          <w:sz w:val="24"/>
          <w:szCs w:val="24"/>
        </w:rPr>
        <w:t xml:space="preserve"> (13 proc.), </w:t>
      </w:r>
      <w:r>
        <w:rPr>
          <w:rFonts w:ascii="calibri" w:hAnsi="calibri" w:eastAsia="calibri" w:cs="calibri"/>
          <w:sz w:val="24"/>
          <w:szCs w:val="24"/>
          <w:b/>
        </w:rPr>
        <w:t xml:space="preserve">imprezy integracyjne </w:t>
      </w:r>
      <w:r>
        <w:rPr>
          <w:rFonts w:ascii="calibri" w:hAnsi="calibri" w:eastAsia="calibri" w:cs="calibri"/>
          <w:sz w:val="24"/>
          <w:szCs w:val="24"/>
        </w:rPr>
        <w:t xml:space="preserve">(10 proc.) oraz </w:t>
      </w:r>
      <w:r>
        <w:rPr>
          <w:rFonts w:ascii="calibri" w:hAnsi="calibri" w:eastAsia="calibri" w:cs="calibri"/>
          <w:sz w:val="24"/>
          <w:szCs w:val="24"/>
          <w:b/>
        </w:rPr>
        <w:t xml:space="preserve">karta lunchowa</w:t>
      </w:r>
      <w:r>
        <w:rPr>
          <w:rFonts w:ascii="calibri" w:hAnsi="calibri" w:eastAsia="calibri" w:cs="calibri"/>
          <w:sz w:val="24"/>
          <w:szCs w:val="24"/>
        </w:rPr>
        <w:t xml:space="preserve"> (5,4 proc.). Warto wspomnieć, że odsetek ofert zawierających informację o ubezpieczeniu na życie od początku roku wzrósł aż o 6 punktów procentowych.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Parking dla rowerów już w połowie ofert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wśród najczęściej proponowanych przez firmy udogodnień znajdują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 biuro</w:t>
      </w:r>
      <w:r>
        <w:rPr>
          <w:rFonts w:ascii="calibri" w:hAnsi="calibri" w:eastAsia="calibri" w:cs="calibri"/>
          <w:sz w:val="24"/>
          <w:szCs w:val="24"/>
        </w:rPr>
        <w:t xml:space="preserve"> (59 proc. ofert), </w:t>
      </w:r>
      <w:r>
        <w:rPr>
          <w:rFonts w:ascii="calibri" w:hAnsi="calibri" w:eastAsia="calibri" w:cs="calibri"/>
          <w:sz w:val="24"/>
          <w:szCs w:val="24"/>
          <w:b/>
        </w:rPr>
        <w:t xml:space="preserve">parking dla rowerów</w:t>
      </w:r>
      <w:r>
        <w:rPr>
          <w:rFonts w:ascii="calibri" w:hAnsi="calibri" w:eastAsia="calibri" w:cs="calibri"/>
          <w:sz w:val="24"/>
          <w:szCs w:val="24"/>
        </w:rPr>
        <w:t xml:space="preserve"> (49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darmowy parking</w:t>
      </w:r>
      <w:r>
        <w:rPr>
          <w:rFonts w:ascii="calibri" w:hAnsi="calibri" w:eastAsia="calibri" w:cs="calibri"/>
          <w:sz w:val="24"/>
          <w:szCs w:val="24"/>
        </w:rPr>
        <w:t xml:space="preserve"> (41 proc.). W 28 proc. ogłoszeń pracodawcy wspominają o </w:t>
      </w:r>
      <w:r>
        <w:rPr>
          <w:rFonts w:ascii="calibri" w:hAnsi="calibri" w:eastAsia="calibri" w:cs="calibri"/>
          <w:sz w:val="24"/>
          <w:szCs w:val="24"/>
          <w:b/>
        </w:rPr>
        <w:t xml:space="preserve">playroomie </w:t>
      </w:r>
      <w:r>
        <w:rPr>
          <w:rFonts w:ascii="calibri" w:hAnsi="calibri" w:eastAsia="calibri" w:cs="calibri"/>
          <w:sz w:val="24"/>
          <w:szCs w:val="24"/>
        </w:rPr>
        <w:t xml:space="preserve">(pokoju, w którym pracownicy mogą się odprężyć przy różnego rodzaju rozrywkach, np. grach), a w 26 proc. o </w:t>
      </w:r>
      <w:r>
        <w:rPr>
          <w:rFonts w:ascii="calibri" w:hAnsi="calibri" w:eastAsia="calibri" w:cs="calibri"/>
          <w:sz w:val="24"/>
          <w:szCs w:val="24"/>
          <w:b/>
        </w:rPr>
        <w:t xml:space="preserve">darmowych przekąskach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części osób poszukujących pracy benefitem albo przynajmniej zaletą może być </w:t>
      </w:r>
      <w:r>
        <w:rPr>
          <w:rFonts w:ascii="calibri" w:hAnsi="calibri" w:eastAsia="calibri" w:cs="calibri"/>
          <w:sz w:val="24"/>
          <w:szCs w:val="24"/>
          <w:b/>
        </w:rPr>
        <w:t xml:space="preserve">brak dress code’u</w:t>
      </w:r>
      <w:r>
        <w:rPr>
          <w:rFonts w:ascii="calibri" w:hAnsi="calibri" w:eastAsia="calibri" w:cs="calibri"/>
          <w:sz w:val="24"/>
          <w:szCs w:val="24"/>
        </w:rPr>
        <w:t xml:space="preserve">, czyli wymogu formalnego ubioru w pracy. Wysoki odsetek ogłoszeń podkreślających brak tego typu wymagań można znaleźć w branżach takich jak </w:t>
      </w:r>
      <w:r>
        <w:rPr>
          <w:rFonts w:ascii="calibri" w:hAnsi="calibri" w:eastAsia="calibri" w:cs="calibri"/>
          <w:sz w:val="24"/>
          <w:szCs w:val="24"/>
          <w:b/>
        </w:rPr>
        <w:t xml:space="preserve">IT</w:t>
      </w:r>
      <w:r>
        <w:rPr>
          <w:rFonts w:ascii="calibri" w:hAnsi="calibri" w:eastAsia="calibri" w:cs="calibri"/>
          <w:sz w:val="24"/>
          <w:szCs w:val="24"/>
        </w:rPr>
        <w:t xml:space="preserve"> (51 proc. ofert),</w:t>
      </w:r>
      <w:r>
        <w:rPr>
          <w:rFonts w:ascii="calibri" w:hAnsi="calibri" w:eastAsia="calibri" w:cs="calibri"/>
          <w:sz w:val="24"/>
          <w:szCs w:val="24"/>
          <w:b/>
        </w:rPr>
        <w:t xml:space="preserve"> telekomunikacja </w:t>
      </w:r>
      <w:r>
        <w:rPr>
          <w:rFonts w:ascii="calibri" w:hAnsi="calibri" w:eastAsia="calibri" w:cs="calibri"/>
          <w:sz w:val="24"/>
          <w:szCs w:val="24"/>
        </w:rPr>
        <w:t xml:space="preserve">(44 proc.),</w:t>
      </w:r>
      <w:r>
        <w:rPr>
          <w:rFonts w:ascii="calibri" w:hAnsi="calibri" w:eastAsia="calibri" w:cs="calibri"/>
          <w:sz w:val="24"/>
          <w:szCs w:val="24"/>
          <w:b/>
        </w:rPr>
        <w:t xml:space="preserve"> konsulting</w:t>
      </w:r>
      <w:r>
        <w:rPr>
          <w:rFonts w:ascii="calibri" w:hAnsi="calibri" w:eastAsia="calibri" w:cs="calibri"/>
          <w:sz w:val="24"/>
          <w:szCs w:val="24"/>
        </w:rPr>
        <w:t xml:space="preserve"> (39 proc.) i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</w:t>
      </w:r>
      <w:r>
        <w:rPr>
          <w:rFonts w:ascii="calibri" w:hAnsi="calibri" w:eastAsia="calibri" w:cs="calibri"/>
          <w:sz w:val="24"/>
          <w:szCs w:val="24"/>
        </w:rPr>
        <w:t xml:space="preserve"> (36 proc.).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pochodzą z portalu No Fluff Jobs i dotyczą 3. kwartału 2024 roku.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fluffjobs.com/insights/rynek-pracy-w-polsce/?utm_source=pr&amp;amp;amp;utm_medium=article&amp;amp;amp;utm_campaign=rynek_pracy" TargetMode="External"/><Relationship Id="rId8" Type="http://schemas.openxmlformats.org/officeDocument/2006/relationships/hyperlink" Target="https://enterthecode.pl/benefity-dla-pracownikow/?utm_source=report&amp;amp;amp;utm_medium=button&amp;amp;amp;utm_campaign=rynek_pr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2026-10-14T03:10:09+02:00</dcterms:created>
  <dcterms:modified xsi:type="dcterms:W3CDTF">2026-10-14T03:10:09+02:00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