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IT odbija w największych miastach. W Łodzi liczba ofert wzrosła o 171 proc., w Warszawie i Trójmieście o 119 proc. Stawki na UoP rosną szybciej niż na B2B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Ożywieniu rekrutacji w polskim sektorze IT towarzyszą wyraźne zmiany wynagrodzeń, przede wszystkim na umowach o pracę. W Poznaniu mediana górnych widełek na etacie wzrosła z 17 tys. do 21 tys. zł brutto, a we Wrocławiu z 17 tys. do 20 tys. zł. Jednocześnie w tym drugim mieście stawki B2B obniżyły się z 25,2 tys. do 24,36 tys. zł netto (+ VAT). Najwięcej ogłoszeń spośród dziewięciu analizowanych miast przypada na Warszawę, jednak najwyższe stawki odnotowano w Krakowie. Mediana górnych widełek wynosi tam 30,45 tys. zł netto (+ VAT) na kontrakcie B2B i 22,3 tys. zł brutto na umowie o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Wynagrodzenia oferowane na umowie o pracę w branży IT w części największych miast Polski – Warszawie, Krakowie, Trójmieście, Wrocławiu, Łodzi, Poznaniu, Szczecinie, Lublinie i Katowicach – rosną szybciej niż na kontrakcie B2B. W 6 z 9 analizowanych lokalizacji mediana górnych widełek wynagrodzeń na umowie o pracę wzrosła rok do roku o co najmniej 10 proc. –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najnowszej analizy ogłoszeń opublikowanych na No Fluff Jobs</w:t>
      </w:r>
      <w:r>
        <w:rPr>
          <w:rFonts w:ascii="calibri" w:hAnsi="calibri" w:eastAsia="calibri" w:cs="calibri"/>
          <w:sz w:val="24"/>
          <w:szCs w:val="24"/>
        </w:rPr>
        <w:t xml:space="preserve">, największego polskiego portalu z widełkami w ogłoszeniach o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Nasze najnowsze dane napawają optymizmem – wyraźnie widać ożywienie rynku IT w największych polskich miastach. Oprócz stolicy, w której liczba opublikowanych ofert wzrosła o 119 proc. rok do roku, warto wspomnieć o wysokich wzrostach m.in. w Trójmieście (również +119 proc.), Łodzi (+171 proc.) czy Krakowie (+108 proc.) 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Król, Chief People and Operations Officer w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Powodów tego „rozmrożenia” etatów może być wiele. Aktualnie często słyszymy o firmach, które zachłyśnięte rozwiązaniami AI najpierw wstrzymały rekrutacje lub zredukowały personel, by po czasie weryfikacji realiów ponownie rekrutować. Liczymy, że ta tendencja zwyżkowa utrzyma się do końca roku i obejmie również inne branże.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Kraków wyróżnia się wzrostem stawek na etacie i B2B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Poznaniu mediana górnych widełek na etacie zwiększyła się z 17 tys. do 21 tys. zł brutto, czyli o 23,5 proc. Taki sam wzrost górnych widełek wynagrodzeń odnotowano w Trójmieście. W tym samym czasie na B2B zmiany były znacznie mniejsze – w Poznaniu mediana wzrosła z 24 tys. do 25,2 tys. zł netto (+ VAT), a w Trójmieście z 23,52 tys. do 25,2 tys.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wyglądała sytuacja we Wrocławiu, gdzie górna mediana na umowie o pracę wzrosła z 17 tys. do 20 tys. zł brutto, podczas gdy na B2B spadła z 25,2 tys. do 24,36 tys. zł netto (+ VAT). </w:t>
      </w:r>
      <w:r>
        <w:rPr>
          <w:rFonts w:ascii="calibri" w:hAnsi="calibri" w:eastAsia="calibri" w:cs="calibri"/>
          <w:sz w:val="24"/>
          <w:szCs w:val="24"/>
          <w:b/>
        </w:rPr>
        <w:t xml:space="preserve">Inaczej jest w Krakowie – tam stawki wzrosły o podobny odsetek w obu formach współpracy: </w:t>
      </w:r>
      <w:r>
        <w:rPr>
          <w:rFonts w:ascii="calibri" w:hAnsi="calibri" w:eastAsia="calibri" w:cs="calibri"/>
          <w:sz w:val="24"/>
          <w:szCs w:val="24"/>
        </w:rPr>
        <w:t xml:space="preserve">na etacie z 21 tys. do 22,3 tys. zł brutto, a na B2B z 27,3 tys. do 30,45 tys. zł netto (+ VAT).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0px; height:3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Najwyższe stawki na etacie w Warszawie, a na B2B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stanowisk seniorskich najwyższą medianę górnych widełek odnotowano na umowie o pracę w Warszawie – 25,3 tys. zł brutto, natomiast na B2B w Krakowie – 32,55 tys. zł netto (+ VAT). Na poziomie mid najwyższą stawkę na umowie o pracę odnotowano w Lublinie – 15,5 tys. zł brutto, a na B2B w Krakowie – 26,88 tys. zł netto (+ VAT). Wśród stanowisk juniorskich najwyższa mediana górnych widełek na UoP wystąpiła w Warszawie – 14,4 tys. zł brutto, a na B2B w Lublinie i Szczecinie – po 16,8 tys. zł netto (+ VAT).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7px; height:2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hybrydowa dominuje, ale nie w każdym mieście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hybrydowa pozostaje najczęściej spotykanym modelem w większości analizowanych miast, choć różnice między lokalnymi rynkami są wyraźne. W 2026 roku najwięcej ofert pracy hybrydowej odnotowano w Szczecinie (83,0 proc.), następnie w Trójmieście (75,4 proc.), Warszawie (68,3 proc.) i Krakowie (64,3 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2026-09-22T16:40:01+02:00</dcterms:created>
  <dcterms:modified xsi:type="dcterms:W3CDTF">2026-09-22T16:40:01+02:00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