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¾ ogłoszeń o pracy dla doświadczonych specjalistów w branży IT oferuje zatrudnienie na kontrakcie B2B. Jednak nowe unijne przepisy mogą wymusić zmianę.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229 tys. zarejestrowanych w Polsce firm zajmujących się oprogramowaniem i informatyką nawet 99 proc. mogą stanowić osoby pracujące na kontraktach B2B. W branży IT to norma, wygodna zarówno dla pracodawców, jak i pracujących. Według danych No Fluff Jobs kontrakt B2B w pierwszej połowie 2024 r. był oferowany w 74 proc. ogłoszeń o pracy dla osób z dużym doświadczeniem w IT, a umowa o pracę w 49,5 proc. Wkrótce jednak mogą wejść w życie przepisy, które wymuszą na takich osobach przejście na etat.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Planowane zmiany i ich znaczenie dla branży IT komentuje Tomasz Bujok, CEO No Fluff Jobs – polskiego portalu z ogłoszeniami o pracy, który od 10 lat ułatwia kandydatom i kandydatkom znalezienie pracy dopasowanej do ich oczekiwań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nad reformą Państwowej Inspekcji Pracy</w:t>
      </w:r>
      <w:r>
        <w:rPr>
          <w:rFonts w:ascii="calibri" w:hAnsi="calibri" w:eastAsia="calibri" w:cs="calibri"/>
          <w:sz w:val="24"/>
          <w:szCs w:val="24"/>
        </w:rPr>
        <w:t xml:space="preserve">, która ma usprawnić proces egzekwowania przepisów przez jej inspektorów, m.in. nadając im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wystawienia nakazu przekształcenia umowy cywilnoprawnej lub B2B w umowę o pracę</w:t>
      </w:r>
      <w:r>
        <w:rPr>
          <w:rFonts w:ascii="calibri" w:hAnsi="calibri" w:eastAsia="calibri" w:cs="calibri"/>
          <w:sz w:val="24"/>
          <w:szCs w:val="24"/>
        </w:rPr>
        <w:t xml:space="preserve">, jeśli będzie ona spełniać wymagane warunki – dotychczas takie działanie mógł podjąć tylko sąd. Jednocześnie niedługo prawdopodobnie zostanie zatwierdzona unijna dyrektywa regulująca pracę osób zatrudnianych za pośrednictwem platform cyfrowych (np. kierowców od przewozów, dostawców jedzenia). </w:t>
      </w:r>
      <w:r>
        <w:rPr>
          <w:rFonts w:ascii="calibri" w:hAnsi="calibri" w:eastAsia="calibri" w:cs="calibri"/>
          <w:sz w:val="24"/>
          <w:szCs w:val="24"/>
          <w:b/>
        </w:rPr>
        <w:t xml:space="preserve">Nowe przepisy mają pomóc wychwycić, kto z zatrudnionych na B2B faktycznie jest firmą świadczącą usługi, a kto powinien podlegać ochronie jak etatowy pracownik</w:t>
      </w:r>
      <w:r>
        <w:rPr>
          <w:rFonts w:ascii="calibri" w:hAnsi="calibri" w:eastAsia="calibri" w:cs="calibri"/>
          <w:sz w:val="24"/>
          <w:szCs w:val="24"/>
        </w:rPr>
        <w:t xml:space="preserve">. W opinii UE taka forma zatrudnienia jest krzywdząca dla pracujących, którzy pozostają z firmami w faktycznym stosunku pracy, ale nie mają dostępu do świadczeń, które gwarantuje umowa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99 proc. firm IT w Polsce to samozatrudnieni?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Pracom nad nowymi regulacjami z niepokojem przyglądają się specjaliści i specjalistki IT. W tej branży zatrudnienie na kontrakcie B2B jest normą, a odsetek ofert pracy oferujących taką możliwość od lat utrzymuje się na wysokim poziomie.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 z czerwca tego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jest zarejestrowanych ponad </w:t>
      </w:r>
      <w:r>
        <w:rPr>
          <w:rFonts w:ascii="calibri" w:hAnsi="calibri" w:eastAsia="calibri" w:cs="calibri"/>
          <w:sz w:val="24"/>
          <w:szCs w:val="24"/>
          <w:b/>
        </w:rPr>
        <w:t xml:space="preserve">229 tys. działalności zajmujących się oprogramowaniem i informatyką</w:t>
      </w:r>
      <w:r>
        <w:rPr>
          <w:rFonts w:ascii="calibri" w:hAnsi="calibri" w:eastAsia="calibri" w:cs="calibri"/>
          <w:sz w:val="24"/>
          <w:szCs w:val="24"/>
        </w:rPr>
        <w:t xml:space="preserve">, z czego ponad </w:t>
      </w:r>
      <w:r>
        <w:rPr>
          <w:rFonts w:ascii="calibri" w:hAnsi="calibri" w:eastAsia="calibri" w:cs="calibri"/>
          <w:sz w:val="24"/>
          <w:szCs w:val="24"/>
          <w:b/>
        </w:rPr>
        <w:t xml:space="preserve">99 proc. stanowią podmioty zatrudniające mniej niż 10 osób</w:t>
      </w:r>
      <w:r>
        <w:rPr>
          <w:rFonts w:ascii="calibri" w:hAnsi="calibri" w:eastAsia="calibri" w:cs="calibri"/>
          <w:sz w:val="24"/>
          <w:szCs w:val="24"/>
        </w:rPr>
        <w:t xml:space="preserve">. Prawdopodobnie większość z tych małych przedsiębiorstw to osoby zatrudnione na podstawie umów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Dodatkowego smaczku dodaje fakt, że na rynku mamy niemały kryzys, bo spada dostępność ofert i zamykane są projekty, o czym pisaliśmy w raporcie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fakt, że jest mniej nowych ofert pracy niż jeszcze parę miesięcy temu, nie oznacza jednak, że diametralnie zmieni się forma współpracy firm z pracownikami w tym sektorze. Próba wymuszenia tej zmiany dla wszystkich, bez względu na charakter pracy, oznaczałaby, że działający w branży technologicznej mogliby się poczuć, jakby dostali rykoszetem za to, że UE chce innej grupie poprawić warunki. Kto wie, czy nie spowoduje to jeszcze większej stagnacji w 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wyższe stanowisko, tym większa popularność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cenią sobie zarówno zatrudniający, jak i zatrudniani. Pracodawcy unikają w ten sposób kosztów związanych z opłacaniem składek zdrowotnych i ubezpieczenia społecznego, a pracownicy i pracowniczki mogą liczyć na wyższe zarobki „na rękę”, z czego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osoby na wyższych stanowiskach</w:t>
      </w:r>
      <w:r>
        <w:rPr>
          <w:rFonts w:ascii="calibri" w:hAnsi="calibri" w:eastAsia="calibri" w:cs="calibri"/>
          <w:sz w:val="24"/>
          <w:szCs w:val="24"/>
        </w:rPr>
        <w:t xml:space="preserve">, zarabiające kilkanaście lub kilkadziesiąt tysięcy złotych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ofert pracy na kontrakcie B2B w branży IT można znaleźć właśnie wśród ogłoszeń kierowanych </w:t>
      </w:r>
      <w:r>
        <w:rPr>
          <w:rFonts w:ascii="calibri" w:hAnsi="calibri" w:eastAsia="calibri" w:cs="calibri"/>
          <w:sz w:val="24"/>
          <w:szCs w:val="24"/>
          <w:b/>
        </w:rPr>
        <w:t xml:space="preserve">do seniorów i seniorek</w:t>
      </w:r>
      <w:r>
        <w:rPr>
          <w:rFonts w:ascii="calibri" w:hAnsi="calibri" w:eastAsia="calibri" w:cs="calibri"/>
          <w:sz w:val="24"/>
          <w:szCs w:val="24"/>
        </w:rPr>
        <w:t xml:space="preserve">, czyli osób z dużym doświadczeniem w branży. Według danych No Fluff Jobs w pierwszej połowie 2024 r. </w:t>
      </w:r>
      <w:r>
        <w:rPr>
          <w:rFonts w:ascii="calibri" w:hAnsi="calibri" w:eastAsia="calibri" w:cs="calibri"/>
          <w:sz w:val="24"/>
          <w:szCs w:val="24"/>
          <w:b/>
        </w:rPr>
        <w:t xml:space="preserve">74 proc. ofert seniorskich zawierało propozycję zatrudnienia na kontrakcie B2B</w:t>
      </w:r>
      <w:r>
        <w:rPr>
          <w:rFonts w:ascii="calibri" w:hAnsi="calibri" w:eastAsia="calibri" w:cs="calibri"/>
          <w:sz w:val="24"/>
          <w:szCs w:val="24"/>
        </w:rPr>
        <w:t xml:space="preserve">. Umowa o pracę była proponowana w 49,5 proc. ofert, umowa zlecenie w 1,14 proc., a umowa o dzieło w 0,33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Procenty te nie sumują się do 100, ponieważ pracodawcy mogą proponować różne typy umów w jednej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</w:t>
      </w:r>
      <w:r>
        <w:rPr>
          <w:rFonts w:ascii="calibri" w:hAnsi="calibri" w:eastAsia="calibri" w:cs="calibri"/>
          <w:sz w:val="24"/>
          <w:szCs w:val="24"/>
          <w:b/>
        </w:rPr>
        <w:t xml:space="preserve">dla początkujących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ogłoszenia oferujące umowę o pracę</w:t>
      </w:r>
      <w:r>
        <w:rPr>
          <w:rFonts w:ascii="calibri" w:hAnsi="calibri" w:eastAsia="calibri" w:cs="calibri"/>
          <w:sz w:val="24"/>
          <w:szCs w:val="24"/>
        </w:rPr>
        <w:t xml:space="preserve">, których odsetek w pierwszej połowie 2024 r. wyniósł 56,35 proc. Jednak ofert B2B jest niewiele mniej – 49,72 proc. W przypadku umów zlecenia jest to 22,24 proc., a o dzieło –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również w przepisach regulujących wymiar urlopu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zatrudnionym na kontrakcie B2B, w przeciwieństwie do etatowców, według prawa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urlop ani zwolnienie lekarskie</w:t>
      </w:r>
      <w:r>
        <w:rPr>
          <w:rFonts w:ascii="calibri" w:hAnsi="calibri" w:eastAsia="calibri" w:cs="calibri"/>
          <w:sz w:val="24"/>
          <w:szCs w:val="24"/>
        </w:rPr>
        <w:t xml:space="preserve">, co może stanowić problem. Często pracodawcy umawiają się z nimi na określoną liczbę dni wolnych w roku, problem może jednak pojawić się w przypadku np. choroby. W dodatku, w przypadku przejścia na etat, okres przepracowany na kontrakcie B2B lub umowę cywilnoprawną nie liczy się do stażu pracy, na podstawie którego wylicza się długość przysługującego urlopu lub okresu wypowiedzenia w danej firmie. To jednak również może się wkrótce zmienić –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2026 r.</w:t>
      </w:r>
      <w:r>
        <w:rPr>
          <w:rFonts w:ascii="calibri" w:hAnsi="calibri" w:eastAsia="calibri" w:cs="calibri"/>
          <w:sz w:val="24"/>
          <w:szCs w:val="24"/>
        </w:rPr>
        <w:t xml:space="preserve"> ma wejść w życie ustawa zmieniająca te zapisy kodeksu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podmioty-gospodarcze-wyniki-finansowe/zmiany-strukturalne-grup-podmiotow/miesieczna-informacja-o-podmiotach-gospodarki-narodowej-w-rejestrze-regon-czerwiec-2024,4,86.html" TargetMode="External"/><Relationship Id="rId8" Type="http://schemas.openxmlformats.org/officeDocument/2006/relationships/hyperlink" Target="https://nofluffjobs.com/insights/bezrobocie-w-it/?utm_source=pr&amp;amp;amp;utm_medium=article&amp;amp;amp;utm_campaign=bezrob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2026-07-04T00:12:38+02:00</dcterms:created>
  <dcterms:modified xsi:type="dcterms:W3CDTF">2026-07-04T00:12:38+02:00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