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na rynku pracy IT: Architecture po raz pierwszy od lat nie jest najlepiej opłacaną specjalizacją, koniec dominacji pracy zdalnej. No Fluff Jobs podsumowuje 1. kwartał 2026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sektorze IT hybrydowy model pracy (41 proc. ogłoszeń) po raz pierwszy wyprzedził pracę zdalną, wymienianą obecnie w 38,5 proc ogłoszeń. W 1. kwartale roku branża notuje też 23-procentowe odbicie w liczbie ogłoszeń kwartał do kwartału, chociaż nadal dominują oferty kierowane do seniorów i midów (łącznie ponad 90 proc. ogłoszeń z sektora). Wśród najlepiej opłacanych specjalizacji nastąpiło przetasowanie – dominująca od 3 lat kategoria Architecture została zdetronizowana przez ERP. Kolejne miejsca zajmują Security oraz DevOps.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Ponownie przybywa ofert pracy w branży IT. W 1. kwartale 2026 r. ich liczba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zwiększyła się o 23 proc.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2025 r.,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ogłoszeń opublikowanych na No Fluff Jobs</w:t>
      </w:r>
      <w:r>
        <w:rPr>
          <w:rFonts w:ascii="calibri" w:hAnsi="calibri" w:eastAsia="calibri" w:cs="calibri"/>
          <w:sz w:val="24"/>
          <w:szCs w:val="24"/>
        </w:rPr>
        <w:t xml:space="preserve">, największego polskiego portalu z widełkami w ogłoszeniach o pracy. Nie zmienia się jednak zapotrzebowanie na specjalistów o konkretnym poziomie doświadczenia. Blisko 60 proc. ofert kierowanych jest do seniorów, nieco ponad ⅓ do midów, a tylko ok. 5 proc. do juniorów. Ogólne mediany widełek wynagrodzeń również pozostają na stałym poziomie, chociaż widać zmiany w przypadku poszczególnych specjalizacji.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ogłoszeń pokazuje, że rynek dalej potrzebuje specjalistów i specjalistek, nawet w dobie coraz powszechnego AI. Jako No Fluff Jobs, portal z obowiązkowymi widełkami płacowymi, liczymy też, że coraz częściej na rynku będą pojawiać się transparentne oferty pracy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Wprowadzona w grudniu ustawa „Jasne zarobki”, jakkolwiek nieidealna, oraz nadchodząca dyrektywa unijna o równym wynagradzaniu wymuszają na firmach budowę siatek płac i uporządkowanie poziomów pensji wewnątrz. Tym samym część organizacji staje się gotowa też na publiczne pokazywanie widełek, bo tak obecni, jak i przyszli pracownicy będą dokładnie wiedzieć, w jakim przedziale wynagrodzenia mogą się poruszać.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na 1. miejscu najlepiej opłacanych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2026 r. najbardziej spadły wynagrodzenia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aż do 21 proc. w dolnych widełkach na etacie – oraz</w:t>
      </w:r>
      <w:r>
        <w:rPr>
          <w:rFonts w:ascii="calibri" w:hAnsi="calibri" w:eastAsia="calibri" w:cs="calibri"/>
          <w:sz w:val="24"/>
          <w:szCs w:val="24"/>
          <w:b/>
        </w:rPr>
        <w:t xml:space="preserve"> UX </w:t>
      </w:r>
      <w:r>
        <w:rPr>
          <w:rFonts w:ascii="calibri" w:hAnsi="calibri" w:eastAsia="calibri" w:cs="calibri"/>
          <w:sz w:val="24"/>
          <w:szCs w:val="24"/>
        </w:rPr>
        <w:t xml:space="preserve">– do 17 proc. w dolnych widełkach na etacie. Spadek odnotowano również w najlepiej od trzech lat opłacanej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nawet do 17,5 proc. w górnych widełkach na umowie o pracę. W wielu specjalizacjach nastąpiły też jednak wzrosty oferowanych zarobków.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</w:t>
      </w:r>
      <w:r>
        <w:rPr>
          <w:rFonts w:ascii="calibri" w:hAnsi="calibri" w:eastAsia="calibri" w:cs="calibri"/>
          <w:sz w:val="24"/>
          <w:szCs w:val="24"/>
          <w:b/>
        </w:rPr>
        <w:t xml:space="preserve"> najlepiej opłacane specjalizacje IT </w:t>
      </w:r>
      <w:r>
        <w:rPr>
          <w:rFonts w:ascii="calibri" w:hAnsi="calibri" w:eastAsia="calibri" w:cs="calibri"/>
          <w:sz w:val="24"/>
          <w:szCs w:val="24"/>
        </w:rPr>
        <w:t xml:space="preserve">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ERP (Enterprise Resource Planning)</w:t>
      </w:r>
      <w:r>
        <w:rPr>
          <w:rFonts w:ascii="calibri" w:hAnsi="calibri" w:eastAsia="calibri" w:cs="calibri"/>
          <w:sz w:val="24"/>
          <w:szCs w:val="24"/>
        </w:rPr>
        <w:t xml:space="preserve">: 28,5-33,5 tys. zł netto (+ VAT) na kontrakcie B2B i 18-24,8 tys. zł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 IT</w:t>
      </w:r>
      <w:r>
        <w:rPr>
          <w:rFonts w:ascii="calibri" w:hAnsi="calibri" w:eastAsia="calibri" w:cs="calibri"/>
          <w:sz w:val="24"/>
          <w:szCs w:val="24"/>
        </w:rPr>
        <w:t xml:space="preserve">: 27-32 tys. zł netto (+ VAT) na kontrakcie B2B i 18-22 tys. zł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: 25-30 tys. zł netto (+ VAT) na kontrakcie B2B i 18-24,8 tys. zł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23,5-28,5 zł netto (+ VAT) na kontrakcie B2B i 17-24 tys. zł na umowie o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Dominuje praca hybrydowa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zatrudnienia w branży IT niezmiennie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</w:t>
      </w:r>
      <w:r>
        <w:rPr>
          <w:rFonts w:ascii="calibri" w:hAnsi="calibri" w:eastAsia="calibri" w:cs="calibri"/>
          <w:sz w:val="24"/>
          <w:szCs w:val="24"/>
        </w:rPr>
        <w:t xml:space="preserve">, wymieniany w 71 proc. ofert pracy. Możliwość zatrudnienia na etat pojawia się w 37 proc. ogłoszeń (wartości nie sumują się do 100%, bo pracodawcy mogą podać kilka proponowanych umów w ogłoszeniu - red.). Proporcje te różnią się jednak w zależności od poziomu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adresowanych do juniorów częściej oferowany jest etat</w:t>
      </w:r>
      <w:r>
        <w:rPr>
          <w:rFonts w:ascii="calibri" w:hAnsi="calibri" w:eastAsia="calibri" w:cs="calibri"/>
          <w:sz w:val="24"/>
          <w:szCs w:val="24"/>
        </w:rPr>
        <w:t xml:space="preserve"> (52 proc. ogłoszeń, a B2B pojawia się w 42 proc.). W ofertach pracy kierowanych do midów kontrakt B2B pojawia się już w 72 proc., a umowa o pracę w 38 proc. W przypadku ofert dla seniorów kontrakt B2B pojawia się w 74,5 proc. ogłoszeń, a etat – w 24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1. kwartale 2026 r. po raz pierwszy od lat w ogłoszeniach o pracy dominował </w:t>
      </w:r>
      <w:r>
        <w:rPr>
          <w:rFonts w:ascii="calibri" w:hAnsi="calibri" w:eastAsia="calibri" w:cs="calibri"/>
          <w:sz w:val="24"/>
          <w:szCs w:val="24"/>
          <w:b/>
        </w:rPr>
        <w:t xml:space="preserve">tryb hybrydowy</w:t>
      </w:r>
      <w:r>
        <w:rPr>
          <w:rFonts w:ascii="calibri" w:hAnsi="calibri" w:eastAsia="calibri" w:cs="calibri"/>
          <w:sz w:val="24"/>
          <w:szCs w:val="24"/>
        </w:rPr>
        <w:t xml:space="preserve">, wymieniany w </w:t>
      </w:r>
      <w:r>
        <w:rPr>
          <w:rFonts w:ascii="calibri" w:hAnsi="calibri" w:eastAsia="calibri" w:cs="calibri"/>
          <w:sz w:val="24"/>
          <w:szCs w:val="24"/>
          <w:b/>
        </w:rPr>
        <w:t xml:space="preserve">41 proc. </w:t>
      </w:r>
      <w:r>
        <w:rPr>
          <w:rFonts w:ascii="calibri" w:hAnsi="calibri" w:eastAsia="calibri" w:cs="calibri"/>
          <w:sz w:val="24"/>
          <w:szCs w:val="24"/>
        </w:rPr>
        <w:t xml:space="preserve">ofert. Najpopularniejszy dotychczas tryb zdalny pojawił się w 38,5 proc. ofert, a praca z biura – w 20,5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 trendu, który w IT obserwujemy od kilku lat. W trakcie pandemii praca zdalna „wystrzeliła” jako bardzo powszechny tryb pracy, jednak po unormowaniu sytuacji pracodawcy coraz częściej zaczynają zapraszać pracowników do biura. Ponieważ opór w sektorze technologicznym wobec pracy w całości stacjonarnej byłby duży, firmy zwykle decydują się na tryb hybrydowy jako opcję „pośrednią”, która na długim dystansie ma zadowolić obie strony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2026-06-14T03:57:46+02:00</dcterms:created>
  <dcterms:modified xsi:type="dcterms:W3CDTF">2026-06-14T03:57:46+02:00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