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Niepewna przyszłość programistów, specjalizacja Backend ze spadkiem liczby ogłoszeń i wynagrodzeń nawet o ponad 1 tys. zł. No Fluff Jobs podsumowuje pierwszy kwartał 2024 w 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Największe spadki wynagrodzeń dotknęły na początku tego roku specjalistów i specjalistki szukających zatrudnienia w kategoriach Backend oraz Data – nawet o ponad 1 tys. zł, jak wynika z danych No Fluff Jobs. Spada również zapotrzebowanie firm na osoby specjalizujące się w Backendzie, Frontendzie oraz Testingu. Rośnie natomiast liczba ofert pracy w dziedzinach tworzenia gier, analizy danych oraz sztucznej inteligencji. Najbardziej wzrosły wynagrodzenia w specjalizacji Fullstack – na umowie o pracę nawet o 2,5 tys. zł w dolnych widełkach.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drugiej połowie ubiegłego roku </w:t>
      </w:r>
      <w:r>
        <w:rPr>
          <w:rFonts w:ascii="calibri" w:hAnsi="calibri" w:eastAsia="calibri" w:cs="calibri"/>
          <w:sz w:val="24"/>
          <w:szCs w:val="24"/>
          <w:b/>
        </w:rPr>
        <w:t xml:space="preserve">sytuacja na rynku pracy IT, mimo utrzymującego się trendu rosnących wynagrodzeń, była trudna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średnia liczba osób wysyłających CV na jedno ogłoszenie znacząco wzrosła, a nawet bardziej doświadczone osoby miały problemy ze znalezieniem zatrudnienia i coraz częściej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decydowały się na pracę na poziomie poniżej swoich kompetencji</w:t>
        </w:r>
      </w:hyperlink>
      <w:r>
        <w:rPr>
          <w:rFonts w:ascii="calibri" w:hAnsi="calibri" w:eastAsia="calibri" w:cs="calibri"/>
          <w:sz w:val="24"/>
          <w:szCs w:val="24"/>
        </w:rPr>
        <w:t xml:space="preserve">. No Fluff Jobs, polski portal z ogłoszeniami o pracy, który od 10 lat wyznacza standardy rekrutacji, sprawdził, jak wygląda sytuacja branży po pierwszym kwartale 2024 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Backend z największym spadkiem liczby ogłoszeń i oferowanych wynagrodzeń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Przyszłość specjalizacji związanych z programowaniem, które jeszcze kilka lat temu przodowały zarówno pod względem wysokości oferowanych wynagrodzeń, jak i rosnącej liczby ogłoszeń o pracy, teraz wydaje się być mniej pewna.</w:t>
      </w:r>
      <w:r>
        <w:rPr>
          <w:rFonts w:ascii="calibri" w:hAnsi="calibri" w:eastAsia="calibri" w:cs="calibri"/>
          <w:sz w:val="24"/>
          <w:szCs w:val="24"/>
          <w:b/>
        </w:rPr>
        <w:t xml:space="preserve"> Największe spadki liczby ofert zatrudnienia</w:t>
      </w:r>
      <w:r>
        <w:rPr>
          <w:rFonts w:ascii="calibri" w:hAnsi="calibri" w:eastAsia="calibri" w:cs="calibri"/>
          <w:sz w:val="24"/>
          <w:szCs w:val="24"/>
        </w:rPr>
        <w:t xml:space="preserve"> w porównaniu do ostatniego kwartału 2023 r. odnotowano w kategoriach </w:t>
      </w:r>
      <w:r>
        <w:rPr>
          <w:rFonts w:ascii="calibri" w:hAnsi="calibri" w:eastAsia="calibri" w:cs="calibri"/>
          <w:sz w:val="24"/>
          <w:szCs w:val="24"/>
          <w:b/>
        </w:rPr>
        <w:t xml:space="preserve">Backend</w:t>
      </w:r>
      <w:r>
        <w:rPr>
          <w:rFonts w:ascii="calibri" w:hAnsi="calibri" w:eastAsia="calibri" w:cs="calibri"/>
          <w:sz w:val="24"/>
          <w:szCs w:val="24"/>
        </w:rPr>
        <w:t xml:space="preserve"> (o 4,5 punktów procentowych), </w:t>
      </w:r>
      <w:r>
        <w:rPr>
          <w:rFonts w:ascii="calibri" w:hAnsi="calibri" w:eastAsia="calibri" w:cs="calibri"/>
          <w:sz w:val="24"/>
          <w:szCs w:val="24"/>
          <w:b/>
        </w:rPr>
        <w:t xml:space="preserve">Frontend</w:t>
      </w:r>
      <w:r>
        <w:rPr>
          <w:rFonts w:ascii="calibri" w:hAnsi="calibri" w:eastAsia="calibri" w:cs="calibri"/>
          <w:sz w:val="24"/>
          <w:szCs w:val="24"/>
        </w:rPr>
        <w:t xml:space="preserve"> (2,1 punktów procentowych) i </w:t>
      </w:r>
      <w:r>
        <w:rPr>
          <w:rFonts w:ascii="calibri" w:hAnsi="calibri" w:eastAsia="calibri" w:cs="calibri"/>
          <w:sz w:val="24"/>
          <w:szCs w:val="24"/>
          <w:b/>
        </w:rPr>
        <w:t xml:space="preserve">Testing</w:t>
      </w:r>
      <w:r>
        <w:rPr>
          <w:rFonts w:ascii="calibri" w:hAnsi="calibri" w:eastAsia="calibri" w:cs="calibri"/>
          <w:sz w:val="24"/>
          <w:szCs w:val="24"/>
        </w:rPr>
        <w:t xml:space="preserve"> (1,4 punktów procentowych). Mimo to Backend to nadal największa kategoria w IT – praktycznie jedno na pięć ogłoszeń dotyczy pracy w tym obszarze. Co dziesiąta oferta z kolei przeznaczona jest dla specjalistów Fullstack.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Backend </w:t>
      </w:r>
      <w:r>
        <w:rPr>
          <w:rFonts w:ascii="calibri" w:hAnsi="calibri" w:eastAsia="calibri" w:cs="calibri"/>
          <w:sz w:val="24"/>
          <w:szCs w:val="24"/>
        </w:rPr>
        <w:t xml:space="preserve">można zauważyć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największy spadek oferowanych wynagrodzeń na kontrakcie B2B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pod koniec 2023 r. mediany dolnych i górnych widełek wynagrodzeń dla specjalistów i specjalistek na poziomie średniozaawansowanym (mid) wynosiły 16,5 tys. i 21,8 tys. zł netto (+VAT), podczas gdy już w pierwszym kwartale bieżącego roku spadły odpowiednio do </w:t>
      </w:r>
      <w:r>
        <w:rPr>
          <w:rFonts w:ascii="calibri" w:hAnsi="calibri" w:eastAsia="calibri" w:cs="calibri"/>
          <w:sz w:val="24"/>
          <w:szCs w:val="24"/>
          <w:b/>
        </w:rPr>
        <w:t xml:space="preserve">15,1 tys. i 21,3 tys. zł netto (+VAT)</w:t>
      </w:r>
      <w:r>
        <w:rPr>
          <w:rFonts w:ascii="calibri" w:hAnsi="calibri" w:eastAsia="calibri" w:cs="calibri"/>
          <w:sz w:val="24"/>
          <w:szCs w:val="24"/>
        </w:rPr>
        <w:t xml:space="preserve">. Oznacza to </w:t>
      </w:r>
      <w:r>
        <w:rPr>
          <w:rFonts w:ascii="calibri" w:hAnsi="calibri" w:eastAsia="calibri" w:cs="calibri"/>
          <w:sz w:val="24"/>
          <w:szCs w:val="24"/>
          <w:b/>
        </w:rPr>
        <w:t xml:space="preserve">spadek dolnych widełek o 8,48 proc., a górnych o 2,29 proc.</w:t>
      </w:r>
      <w:r>
        <w:rPr>
          <w:rFonts w:ascii="calibri" w:hAnsi="calibri" w:eastAsia="calibri" w:cs="calibri"/>
          <w:sz w:val="24"/>
          <w:szCs w:val="24"/>
        </w:rPr>
        <w:t xml:space="preserve"> W przypadku umowy o pracę odnotowano minimalny wzrost dolnych widełek wynagrodzeń z 12 tys. zł do 12,3 tys. zł brutto. Górne widełki pozostały bez zmian na poziomie 18 tys. zł brutto. U seniorów jednak oferowane wynagrodzenia minimalnie wzrosły w przypadku umów B2B (2,73 proc. w medianie dolnych i 1,05 proc. w medianie górnych widełek) lub, w przypadku umów o pracę, pozostały bez zmian.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specjalizacją najbardziej dotkniętą spadkiem wynagrodzeń jest</w:t>
      </w:r>
      <w:r>
        <w:rPr>
          <w:rFonts w:ascii="calibri" w:hAnsi="calibri" w:eastAsia="calibri" w:cs="calibri"/>
          <w:sz w:val="24"/>
          <w:szCs w:val="24"/>
          <w:b/>
        </w:rPr>
        <w:t xml:space="preserve"> Data.</w:t>
      </w:r>
      <w:r>
        <w:rPr>
          <w:rFonts w:ascii="calibri" w:hAnsi="calibri" w:eastAsia="calibri" w:cs="calibri"/>
          <w:sz w:val="24"/>
          <w:szCs w:val="24"/>
        </w:rPr>
        <w:t xml:space="preserve"> Dolne widełki wynagrodzeń na kontrakcie B2B dla specjalistów i specjalistek na poziomie średniozaawansowanym </w:t>
      </w:r>
      <w:r>
        <w:rPr>
          <w:rFonts w:ascii="calibri" w:hAnsi="calibri" w:eastAsia="calibri" w:cs="calibri"/>
          <w:sz w:val="24"/>
          <w:szCs w:val="24"/>
          <w:b/>
        </w:rPr>
        <w:t xml:space="preserve">spadły w minionym kwartale o 5 proc.</w:t>
      </w:r>
      <w:r>
        <w:rPr>
          <w:rFonts w:ascii="calibri" w:hAnsi="calibri" w:eastAsia="calibri" w:cs="calibri"/>
          <w:sz w:val="24"/>
          <w:szCs w:val="24"/>
        </w:rPr>
        <w:t xml:space="preserve">, a górne o </w:t>
      </w:r>
      <w:r>
        <w:rPr>
          <w:rFonts w:ascii="calibri" w:hAnsi="calibri" w:eastAsia="calibri" w:cs="calibri"/>
          <w:sz w:val="24"/>
          <w:szCs w:val="24"/>
          <w:b/>
        </w:rPr>
        <w:t xml:space="preserve">4 proc.</w:t>
      </w:r>
      <w:r>
        <w:rPr>
          <w:rFonts w:ascii="calibri" w:hAnsi="calibri" w:eastAsia="calibri" w:cs="calibri"/>
          <w:sz w:val="24"/>
          <w:szCs w:val="24"/>
        </w:rPr>
        <w:t xml:space="preserve">, osiągając poziom 19-24 tys. zł netto (+VAT). Na umowie o pracę dolne widełki spadły aż o 10 proc., natomiast górne wzrosły o 5,26 proc. Obecnie mieszczą się w przedziale 12,6-20 tys. zł brutto.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Branża IT od kilku lat nie przestaje zaskakiwać. Byliśmy już świadkami niespodziewanego okresu rozkwitu chwilę po pandemii, rosnących wynagrodzeń oraz zapotrzebowania na doświadczonych specjalistów i specjalistki, ale od ponad roku doświadczamy sporych turbulencji: zwolnień, zamykanych projektów i końca rynku pracownika. Z powodu rozwijających się rozwiązań opartych na sztucznej inteligencji niepewny stał się również los osób zajmujących się programowaniem – widzimy wahania w zarobkach oraz zapotrzebowaniu na Backend czy Frontend Developerów. W tej sytuacji trudno prognozować przyszłość. Możemy jedynie obserwować rynek i na bieżąco wyciągać wnioski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Specjalizacja Fullstack z największym wzrostem wynagrodzeń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Rośnie natomiast zapotrzebowanie na specjalizacje związane z </w:t>
      </w:r>
      <w:r>
        <w:rPr>
          <w:rFonts w:ascii="calibri" w:hAnsi="calibri" w:eastAsia="calibri" w:cs="calibri"/>
          <w:sz w:val="24"/>
          <w:szCs w:val="24"/>
          <w:b/>
        </w:rPr>
        <w:t xml:space="preserve">tworzeniem gier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analizą danych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sztuczną inteligencją</w:t>
      </w:r>
      <w:r>
        <w:rPr>
          <w:rFonts w:ascii="calibri" w:hAnsi="calibri" w:eastAsia="calibri" w:cs="calibri"/>
          <w:sz w:val="24"/>
          <w:szCs w:val="24"/>
        </w:rPr>
        <w:t xml:space="preserve">. W ostatnim kwartale </w:t>
      </w:r>
      <w:r>
        <w:rPr>
          <w:rFonts w:ascii="calibri" w:hAnsi="calibri" w:eastAsia="calibri" w:cs="calibri"/>
          <w:sz w:val="24"/>
          <w:szCs w:val="24"/>
          <w:b/>
        </w:rPr>
        <w:t xml:space="preserve">najwięcej ofert pracy przybyło w kategorii Game Dev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o 3,7 punktów procentowych. O 3,6 punktów procentowych wzrosła też liczba ogłoszeń 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Data</w:t>
      </w:r>
      <w:r>
        <w:rPr>
          <w:rFonts w:ascii="calibri" w:hAnsi="calibri" w:eastAsia="calibri" w:cs="calibri"/>
          <w:sz w:val="24"/>
          <w:szCs w:val="24"/>
        </w:rPr>
        <w:t xml:space="preserve">, mimo wspomnianego spadku widełek wynagrodzeń. Trzecie miejsce pod tym względem zajmuje kategoria </w:t>
      </w:r>
      <w:r>
        <w:rPr>
          <w:rFonts w:ascii="calibri" w:hAnsi="calibri" w:eastAsia="calibri" w:cs="calibri"/>
          <w:sz w:val="24"/>
          <w:szCs w:val="24"/>
          <w:b/>
        </w:rPr>
        <w:t xml:space="preserve">Artificial Intelligence </w:t>
      </w:r>
      <w:r>
        <w:rPr>
          <w:rFonts w:ascii="calibri" w:hAnsi="calibri" w:eastAsia="calibri" w:cs="calibri"/>
          <w:sz w:val="24"/>
          <w:szCs w:val="24"/>
        </w:rPr>
        <w:t xml:space="preserve">(o 3,22 punktów procentowych więcej ogłoszeń).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wzrostów widełek proponowanych wynagrodzeń najlepszy początek roku eksperci z No Fluff Jobs zauważyli 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Fullstack</w:t>
      </w:r>
      <w:r>
        <w:rPr>
          <w:rFonts w:ascii="calibri" w:hAnsi="calibri" w:eastAsia="calibri" w:cs="calibri"/>
          <w:sz w:val="24"/>
          <w:szCs w:val="24"/>
        </w:rPr>
        <w:t xml:space="preserve">. W ofertach pracy na stanowiskach seniorskich wzrost proponowanych zarobków sięgnął 7,79 proc. Obecnie widełki wynoszą </w:t>
      </w:r>
      <w:r>
        <w:rPr>
          <w:rFonts w:ascii="calibri" w:hAnsi="calibri" w:eastAsia="calibri" w:cs="calibri"/>
          <w:sz w:val="24"/>
          <w:szCs w:val="24"/>
          <w:b/>
        </w:rPr>
        <w:t xml:space="preserve">23-28,6 tys. zł netto (+ VAT)</w:t>
      </w:r>
      <w:r>
        <w:rPr>
          <w:rFonts w:ascii="calibri" w:hAnsi="calibri" w:eastAsia="calibri" w:cs="calibri"/>
          <w:sz w:val="24"/>
          <w:szCs w:val="24"/>
        </w:rPr>
        <w:t xml:space="preserve"> na kontrakcie B2B oraz </w:t>
      </w:r>
      <w:r>
        <w:rPr>
          <w:rFonts w:ascii="calibri" w:hAnsi="calibri" w:eastAsia="calibri" w:cs="calibri"/>
          <w:sz w:val="24"/>
          <w:szCs w:val="24"/>
          <w:b/>
        </w:rPr>
        <w:t xml:space="preserve">19-24,9 tys. zł brutto </w:t>
      </w:r>
      <w:r>
        <w:rPr>
          <w:rFonts w:ascii="calibri" w:hAnsi="calibri" w:eastAsia="calibri" w:cs="calibri"/>
          <w:sz w:val="24"/>
          <w:szCs w:val="24"/>
        </w:rPr>
        <w:t xml:space="preserve">na umowie o pracę. W przypadku umów o pracę </w:t>
      </w:r>
      <w:r>
        <w:rPr>
          <w:rFonts w:ascii="calibri" w:hAnsi="calibri" w:eastAsia="calibri" w:cs="calibri"/>
          <w:sz w:val="24"/>
          <w:szCs w:val="24"/>
          <w:b/>
        </w:rPr>
        <w:t xml:space="preserve">imponujący wzrost o 23 proc. </w:t>
      </w:r>
      <w:r>
        <w:rPr>
          <w:rFonts w:ascii="calibri" w:hAnsi="calibri" w:eastAsia="calibri" w:cs="calibri"/>
          <w:sz w:val="24"/>
          <w:szCs w:val="24"/>
        </w:rPr>
        <w:t xml:space="preserve">odnotowały dolne widełki proponowane specjalistom i specjalistkom o średnim poziomie doświadczenia. Przy tej formie zatrudnienia mogą liczyć na zarobki wysokości </w:t>
      </w:r>
      <w:r>
        <w:rPr>
          <w:rFonts w:ascii="calibri" w:hAnsi="calibri" w:eastAsia="calibri" w:cs="calibri"/>
          <w:sz w:val="24"/>
          <w:szCs w:val="24"/>
          <w:b/>
        </w:rPr>
        <w:t xml:space="preserve">13-18,6 tys. zł brutto</w:t>
      </w:r>
      <w:r>
        <w:rPr>
          <w:rFonts w:ascii="calibri" w:hAnsi="calibri" w:eastAsia="calibri" w:cs="calibri"/>
          <w:sz w:val="24"/>
          <w:szCs w:val="24"/>
        </w:rPr>
        <w:t xml:space="preserve">. Wcześniej było to 10,5-18 tys. zł brutto. W przypadku kontraktu </w:t>
      </w:r>
      <w:r>
        <w:rPr>
          <w:rFonts w:ascii="calibri" w:hAnsi="calibri" w:eastAsia="calibri" w:cs="calibri"/>
          <w:sz w:val="24"/>
          <w:szCs w:val="24"/>
          <w:b/>
        </w:rPr>
        <w:t xml:space="preserve">B2B</w:t>
      </w:r>
      <w:r>
        <w:rPr>
          <w:rFonts w:ascii="calibri" w:hAnsi="calibri" w:eastAsia="calibri" w:cs="calibri"/>
          <w:sz w:val="24"/>
          <w:szCs w:val="24"/>
        </w:rPr>
        <w:t xml:space="preserve"> zarobki w tej specjalizacji wynoszą obecnie </w:t>
      </w:r>
      <w:r>
        <w:rPr>
          <w:rFonts w:ascii="calibri" w:hAnsi="calibri" w:eastAsia="calibri" w:cs="calibri"/>
          <w:sz w:val="24"/>
          <w:szCs w:val="24"/>
          <w:b/>
        </w:rPr>
        <w:t xml:space="preserve">16-21,8 tys. zł netto (+ VAT)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Spada popularność pracy zdalnej, pracodawcy wolą hybrydę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zdalna w IT nadal cieszy się dużą popularnością, jednak odsetek ogłoszeń oferujących taką możliwość niezmiennie spada, podczas gdy ofert pracy hybrydowej przybywa. W pierwszym kwartale ubiegłego roku opcję łączenia pracy z domu i biura można było znaleźć w </w:t>
      </w:r>
      <w:r>
        <w:rPr>
          <w:rFonts w:ascii="calibri" w:hAnsi="calibri" w:eastAsia="calibri" w:cs="calibri"/>
          <w:sz w:val="24"/>
          <w:szCs w:val="24"/>
          <w:b/>
        </w:rPr>
        <w:t xml:space="preserve">13,8 proc.</w:t>
      </w:r>
      <w:r>
        <w:rPr>
          <w:rFonts w:ascii="calibri" w:hAnsi="calibri" w:eastAsia="calibri" w:cs="calibri"/>
          <w:sz w:val="24"/>
          <w:szCs w:val="24"/>
        </w:rPr>
        <w:t xml:space="preserve"> ogłoszeń, obecnie jest to już </w:t>
      </w:r>
      <w:r>
        <w:rPr>
          <w:rFonts w:ascii="calibri" w:hAnsi="calibri" w:eastAsia="calibri" w:cs="calibri"/>
          <w:sz w:val="24"/>
          <w:szCs w:val="24"/>
          <w:b/>
        </w:rPr>
        <w:t xml:space="preserve">22,8 proc</w:t>
      </w:r>
      <w:r>
        <w:rPr>
          <w:rFonts w:ascii="calibri" w:hAnsi="calibri" w:eastAsia="calibri" w:cs="calibri"/>
          <w:sz w:val="24"/>
          <w:szCs w:val="24"/>
        </w:rPr>
        <w:t xml:space="preserve">. W tym samym czasie </w:t>
      </w:r>
      <w:r>
        <w:rPr>
          <w:rFonts w:ascii="calibri" w:hAnsi="calibri" w:eastAsia="calibri" w:cs="calibri"/>
          <w:sz w:val="24"/>
          <w:szCs w:val="24"/>
          <w:b/>
        </w:rPr>
        <w:t xml:space="preserve">liczba ofert pracy całkowicie zdalnej spadła z 61,7 proc. do 50,7 proc.</w:t>
      </w:r>
      <w:r>
        <w:rPr>
          <w:rFonts w:ascii="calibri" w:hAnsi="calibri" w:eastAsia="calibri" w:cs="calibri"/>
          <w:sz w:val="24"/>
          <w:szCs w:val="24"/>
        </w:rPr>
        <w:t xml:space="preserve"> W przypadku pracy z biura odsetek ogłoszeń utrzymuje się na prawie stałym poziomie, wahając się w ciągu roku między 24 proc. a 26 proc.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biuroprasowe.pl/202894/podsumowanie-2023-r-i-24-trendy-na-przyszlosc-w-branzy-it-od-no-fluff-job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2026-08-24T06:48:53+02:00</dcterms:created>
  <dcterms:modified xsi:type="dcterms:W3CDTF">2026-08-24T06:48:53+02:00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