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Niepewna przyszłość programistów, specjalizacja Backend ze spadkiem liczby ogłoszeń i wynagrodzeń nawet o ponad 1 tys. zł. No Fluff Jobs podsumowuje pierwszy kwartał 2024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spadki wynagrodzeń dotknęły na początku tego roku specjalistów i specjalistki szukających zatrudnienia w kategoriach Backend oraz Data – nawet o ponad 1 tys. zł, jak wynika z danych No Fluff Jobs. Spada również zapotrzebowanie firm na osoby specjalizujące się w Backendzie, Frontendzie oraz Testingu. Rośnie natomiast liczba ofert pracy w dziedzinach tworzenia gier, analizy danych oraz sztucznej inteligencji. Najbardziej wzrosły wynagrodzenia w specjalizacji Fullstack – na umowie o pracę nawet o 2,5 tys. zł w dolnych widełkach.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na rynku pracy IT, mimo utrzymującego się trendu rosnących wynagrodzeń, była trudna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średnia liczba osób wysyłających CV na jedno ogłoszenie znacząco wzrosła, a nawet bardziej doświadczone osoby miały problemy ze znalezieniem zatrudnienia i coraz 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decydowały się na pracę na poziomie poniżej swoich kompetencji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 Fluff Jobs, polski portal z ogłoszeniami o pracy, który od 10 lat wyznacza standardy rekrutacji, sprawdził, jak wygląda sytuacja branży po pierwszym kwartale 2024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z największym spadkiem liczby ogłoszeń i oferowanych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specjalizacji związanych z programowaniem, które jeszcze kilka lat temu przodowały zarówno pod względem wysokości oferowanych wynagrodzeń, jak i rosnącej liczby ogłoszeń o pracy, teraz wydaje się być mniej pewna.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spadki liczby ofert zatrudnienia</w:t>
      </w:r>
      <w:r>
        <w:rPr>
          <w:rFonts w:ascii="calibri" w:hAnsi="calibri" w:eastAsia="calibri" w:cs="calibri"/>
          <w:sz w:val="24"/>
          <w:szCs w:val="24"/>
        </w:rPr>
        <w:t xml:space="preserve"> w porównaniu do ostatniego kwartału 2023 r. odnotowano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(o 4,5 punktów procentowych),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(2,1 punktów procentowych)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(1,4 punktów procentowych). Mimo to Backend to nadal największa kategoria w IT – praktycznie jedno na pięć ogłoszeń dotyczy pracy w tym obszarze. Co dziesiąta oferta z kolei przeznaczona jest dla specjalistów Fullstack.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Backend </w:t>
      </w:r>
      <w:r>
        <w:rPr>
          <w:rFonts w:ascii="calibri" w:hAnsi="calibri" w:eastAsia="calibri" w:cs="calibri"/>
          <w:sz w:val="24"/>
          <w:szCs w:val="24"/>
        </w:rPr>
        <w:t xml:space="preserve">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spadek oferowanych wynagrodzeń na kontrakcie B2B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 koniec 2023 r. mediany dolnych i górnych widełek wynagrodzeń dla specjalistów i specjalistek na poziomie średniozaawansowanym (mid) wynosiły 16,5 tys. i 21,8 tys. zł netto (+VAT), podczas gdy już w pierwszym kwartale bieżącego roku spadły odpowiednio do </w:t>
      </w:r>
      <w:r>
        <w:rPr>
          <w:rFonts w:ascii="calibri" w:hAnsi="calibri" w:eastAsia="calibri" w:cs="calibri"/>
          <w:sz w:val="24"/>
          <w:szCs w:val="24"/>
          <w:b/>
        </w:rPr>
        <w:t xml:space="preserve">15,1 tys. i 21,3 tys. zł netto (+VAT)</w:t>
      </w:r>
      <w:r>
        <w:rPr>
          <w:rFonts w:ascii="calibri" w:hAnsi="calibri" w:eastAsia="calibri" w:cs="calibri"/>
          <w:sz w:val="24"/>
          <w:szCs w:val="24"/>
        </w:rPr>
        <w:t xml:space="preserve">. Oznacza to </w:t>
      </w:r>
      <w:r>
        <w:rPr>
          <w:rFonts w:ascii="calibri" w:hAnsi="calibri" w:eastAsia="calibri" w:cs="calibri"/>
          <w:sz w:val="24"/>
          <w:szCs w:val="24"/>
          <w:b/>
        </w:rPr>
        <w:t xml:space="preserve">spadek dolnych widełek o 8,48 proc., a górnych o 2,29 proc.</w:t>
      </w:r>
      <w:r>
        <w:rPr>
          <w:rFonts w:ascii="calibri" w:hAnsi="calibri" w:eastAsia="calibri" w:cs="calibri"/>
          <w:sz w:val="24"/>
          <w:szCs w:val="24"/>
        </w:rPr>
        <w:t xml:space="preserve"> W przypadku umowy o pracę odnotowano minimalny wzrost dolnych widełek wynagrodzeń z 12 tys. zł do 12,3 tys. zł brutto. Górne widełki pozostały bez zmian na poziomie 18 tys. zł brutto. U seniorów jednak oferowane wynagrodzenia minimalnie wzrosły w przypadku umów B2B (2,73 proc. w medianie dolnych i 1,05 proc. w medianie górnych widełek) lub, w przypadku umów o pracę, pozostały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specjalizacją najbardziej dotkniętą spadkiem wynagrodzeń jest</w:t>
      </w:r>
      <w:r>
        <w:rPr>
          <w:rFonts w:ascii="calibri" w:hAnsi="calibri" w:eastAsia="calibri" w:cs="calibri"/>
          <w:sz w:val="24"/>
          <w:szCs w:val="24"/>
          <w:b/>
        </w:rPr>
        <w:t xml:space="preserve"> Data.</w:t>
      </w:r>
      <w:r>
        <w:rPr>
          <w:rFonts w:ascii="calibri" w:hAnsi="calibri" w:eastAsia="calibri" w:cs="calibri"/>
          <w:sz w:val="24"/>
          <w:szCs w:val="24"/>
        </w:rPr>
        <w:t xml:space="preserve"> Dolne widełki wynagrodzeń na kontrakcie B2B dla specjalistów i specjalistek na poziomie średniozaawansowanym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spadły w minionym kwartale o 5 proc.</w:t>
      </w:r>
      <w:r>
        <w:rPr>
          <w:rFonts w:ascii="calibri" w:hAnsi="calibri" w:eastAsia="calibri" w:cs="calibri"/>
          <w:sz w:val="24"/>
          <w:szCs w:val="24"/>
        </w:rPr>
        <w:t xml:space="preserve">, a górne o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, osiągając poziom 19-24 tys. zł netto (+VAT). Na umowie o pracę dolne widełki spadły aż o 10 proc., natomiast górne wzrosły o 5,26 proc. Obecnie mieszczą się w przedziale 12,6-20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od kilku lat nie przestaje zaskakiwać. Byliśmy już świadkami niespodziewanego okresu rozkwitu chwilę po pandemii, rosnących wynagrodzeń oraz zapotrzebowania na doświadczonych specjalistów i specjalistki, ale od ponad roku doświadczamy sporych turbulencji: zwolnień, zamykanych projektów i końca rynku pracownika. Z powodu rozwijających się rozwiązań opartych na sztucznej inteligencji niepewny stał się również los osób zajmujących się programowaniem – widzimy wahania w zarobkach oraz zapotrzebowaniu na Backend czy Frontend Developerów. W tej sytuacji trudno prognozować przyszłość. Możemy jedynie obserwować rynek i na bieżąco wyciągać wnioski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Specjalizacja Fullstack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natomiast zapotrzebowanie na specjalizacje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gier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analizą danych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inteligencją</w:t>
      </w:r>
      <w:r>
        <w:rPr>
          <w:rFonts w:ascii="calibri" w:hAnsi="calibri" w:eastAsia="calibri" w:cs="calibri"/>
          <w:sz w:val="24"/>
          <w:szCs w:val="24"/>
        </w:rPr>
        <w:t xml:space="preserve">. W ostatnim kwartale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ofert pracy przybyło w kategorii Game Dev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 3,7 punktów procentowych. O 3,6 punktów procentowych wzrosła też liczba ogłoszeń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Data</w:t>
      </w:r>
      <w:r>
        <w:rPr>
          <w:rFonts w:ascii="calibri" w:hAnsi="calibri" w:eastAsia="calibri" w:cs="calibri"/>
          <w:sz w:val="24"/>
          <w:szCs w:val="24"/>
        </w:rPr>
        <w:t xml:space="preserve">, mimo wspomnianego spadku widełek wynagrodzeń. Trzecie miejsce pod tym względem zajmuje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 </w:t>
      </w:r>
      <w:r>
        <w:rPr>
          <w:rFonts w:ascii="calibri" w:hAnsi="calibri" w:eastAsia="calibri" w:cs="calibri"/>
          <w:sz w:val="24"/>
          <w:szCs w:val="24"/>
        </w:rPr>
        <w:t xml:space="preserve">(o 3,22 punktów procentowych więcej ogłoszeń).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wzrostów widełek proponowanych wynagrodzeń najlepszy początek roku eksperci z No Fluff Jobs zauważyli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. W ofertach pracy na stanowiskach seniorskich wzrost proponowanych zarobków sięgnął 7,79 proc. Obecnie widełki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23-28,6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19-24,9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pracę. W przypadku umów o pracę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imponujący wzrost o 23 proc. </w:t>
      </w:r>
      <w:r>
        <w:rPr>
          <w:rFonts w:ascii="calibri" w:hAnsi="calibri" w:eastAsia="calibri" w:cs="calibri"/>
          <w:sz w:val="24"/>
          <w:szCs w:val="24"/>
        </w:rPr>
        <w:t xml:space="preserve">odnotowały dolne widełki proponowane specjalistom i specjalistkom o średnim poziomie doświadczenia. Przy tej formie zatrudnienia mogą liczyć na zarobki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13-18,6 tys. zł brutto</w:t>
      </w:r>
      <w:r>
        <w:rPr>
          <w:rFonts w:ascii="calibri" w:hAnsi="calibri" w:eastAsia="calibri" w:cs="calibri"/>
          <w:sz w:val="24"/>
          <w:szCs w:val="24"/>
        </w:rPr>
        <w:t xml:space="preserve">. Wcześniej było to 10,5-18 tys. zł brutto. W przypadku kontraktu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zarobki w tej specjalizacji wynoszą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16-21,8 tys. zł netto (+ VAT)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popularność pracy zdalnej, pracodawcy wolą hybrydę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w IT nadal cieszy się dużą popularnością, jednak odsetek ogłoszeń oferujących taką możliwość niezmiennie spada, podczas gdy ofert pracy hybrydowej przybywa. W pierwszym kwartale ubiegłego roku opcję łączenia pracy z domu i biura można było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13,8 proc.</w:t>
      </w:r>
      <w:r>
        <w:rPr>
          <w:rFonts w:ascii="calibri" w:hAnsi="calibri" w:eastAsia="calibri" w:cs="calibri"/>
          <w:sz w:val="24"/>
          <w:szCs w:val="24"/>
        </w:rPr>
        <w:t xml:space="preserve"> ogłoszeń,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22,8 proc</w:t>
      </w:r>
      <w:r>
        <w:rPr>
          <w:rFonts w:ascii="calibri" w:hAnsi="calibri" w:eastAsia="calibri" w:cs="calibri"/>
          <w:sz w:val="24"/>
          <w:szCs w:val="24"/>
        </w:rPr>
        <w:t xml:space="preserve">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liczba ofert pracy całkowicie zdalnej spadła z 61,7 proc. do 50,7 proc.</w:t>
      </w:r>
      <w:r>
        <w:rPr>
          <w:rFonts w:ascii="calibri" w:hAnsi="calibri" w:eastAsia="calibri" w:cs="calibri"/>
          <w:sz w:val="24"/>
          <w:szCs w:val="24"/>
        </w:rPr>
        <w:t xml:space="preserve"> W przypadku pracy z biura odsetek ogłoszeń utrzymuje się na prawie stałym poziomie, wahając się w ciągu roku między 24 proc. a 26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2894/podsumowanie-2023-r-i-24-trendy-na-przyszlosc-w-branzy-it-od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2026-05-05T00:25:42+02:00</dcterms:created>
  <dcterms:modified xsi:type="dcterms:W3CDTF">2026-05-05T00:25:42+02:00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