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Zarobki w IT wciąż są najwyższe, ale ich wzrost wyhamował. Najszybciej rosną wynagrodzenia w sprzedaży – na kontrakcie B2B nawet o 27,3 proc. rok do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Najwięcej nowych ofert pracy w styczniu 2025 r. opublikowano w kategorii Sprzedaż, jak wynika z najnowszej analizy portalu No Fluff Jobs. Kolejne miejsca zajmują: Programowanie Backend, Finanse i księgowość, Programowanie Fullstack, Analiza danych, Obsługa klienta i Marketing. Najwyższe zarobki, przekraczające nawet 20 tys. zł miesięcznie, można znaleźć w kategoriach związanych z IT, ale – porównując rok do roku – widać wyhamowanie ich wzrostu, a nawet spadek. Z kolei w sprzedaży oferowane wynagrodzenia rok do roku wzrosły w dolnych widełkach o 18,2 proc. na B2B i 15,4 proc. na umowie o pracę, a w górnych o 27,3 proc. na B2B i 9,5 proc. na umowie o pracę. Również w pozostałych analizowanych kategoriach spoza branży IT odnotowano wzrosty do kilkunastu procent.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roku to czas, w którym wiele osób decyduje się na szukanie nowej pracy. Nie inaczej było w styczniu 2025 r. </w:t>
      </w:r>
      <w:r>
        <w:rPr>
          <w:rFonts w:ascii="calibri" w:hAnsi="calibri" w:eastAsia="calibri" w:cs="calibri"/>
          <w:sz w:val="24"/>
          <w:szCs w:val="24"/>
          <w:b/>
        </w:rPr>
        <w:t xml:space="preserve">Liczba osób aplikujących na oferty pracy w stosunku do grudnia 2024 r. wzrosła aż o 60 proc.</w:t>
      </w:r>
      <w:r>
        <w:rPr>
          <w:rFonts w:ascii="calibri" w:hAnsi="calibri" w:eastAsia="calibri" w:cs="calibri"/>
          <w:sz w:val="24"/>
          <w:szCs w:val="24"/>
        </w:rPr>
        <w:t xml:space="preserve">,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najnowszej analizy</w:t>
      </w:r>
      <w:r>
        <w:rPr>
          <w:rFonts w:ascii="calibri" w:hAnsi="calibri" w:eastAsia="calibri" w:cs="calibri"/>
          <w:sz w:val="24"/>
          <w:szCs w:val="24"/>
        </w:rPr>
        <w:t xml:space="preserve"> wszystkich branż obecnych na </w:t>
      </w:r>
      <w:r>
        <w:rPr>
          <w:rFonts w:ascii="calibri" w:hAnsi="calibri" w:eastAsia="calibri" w:cs="calibri"/>
          <w:sz w:val="24"/>
          <w:szCs w:val="24"/>
          <w:b/>
        </w:rPr>
        <w:t xml:space="preserve">No Fluff Jobs</w:t>
      </w:r>
      <w:r>
        <w:rPr>
          <w:rFonts w:ascii="calibri" w:hAnsi="calibri" w:eastAsia="calibri" w:cs="calibri"/>
          <w:sz w:val="24"/>
          <w:szCs w:val="24"/>
        </w:rPr>
        <w:t xml:space="preserve">, polskim portalu z ogłoszeniami, który od 10 lat ułatwia kandydatom i kandydatkom znalezienie pracy dopasowanej do ich oczekiwań finansowych. Jednak w porównaniu ze styczniem ubiegłego roku widać blisko 15-procentowy spadek liczby aplikacji.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2025 r. </w:t>
      </w:r>
      <w:r>
        <w:rPr>
          <w:rFonts w:ascii="calibri" w:hAnsi="calibri" w:eastAsia="calibri" w:cs="calibri"/>
          <w:sz w:val="24"/>
          <w:szCs w:val="24"/>
          <w:b/>
        </w:rPr>
        <w:t xml:space="preserve">najwięcej ogłoszeń o pracy opublikowano w kategorii Sprzedaż</w:t>
      </w:r>
      <w:r>
        <w:rPr>
          <w:rFonts w:ascii="calibri" w:hAnsi="calibri" w:eastAsia="calibri" w:cs="calibri"/>
          <w:sz w:val="24"/>
          <w:szCs w:val="24"/>
        </w:rPr>
        <w:t xml:space="preserve"> – stanowią one aż 14 proc. wszystkich nowych ofert z tego miesiąca. Kolejne miejsca zajęły: </w:t>
      </w:r>
      <w:r>
        <w:rPr>
          <w:rFonts w:ascii="calibri" w:hAnsi="calibri" w:eastAsia="calibri" w:cs="calibri"/>
          <w:sz w:val="24"/>
          <w:szCs w:val="24"/>
          <w:b/>
        </w:rPr>
        <w:t xml:space="preserve">Programowanie Backend</w:t>
      </w:r>
      <w:r>
        <w:rPr>
          <w:rFonts w:ascii="calibri" w:hAnsi="calibri" w:eastAsia="calibri" w:cs="calibri"/>
          <w:sz w:val="24"/>
          <w:szCs w:val="24"/>
        </w:rPr>
        <w:t xml:space="preserve"> (12 proc. wszystkich opublikowanych w styczniu ogłoszeń), </w:t>
      </w:r>
      <w:r>
        <w:rPr>
          <w:rFonts w:ascii="calibri" w:hAnsi="calibri" w:eastAsia="calibri" w:cs="calibri"/>
          <w:sz w:val="24"/>
          <w:szCs w:val="24"/>
          <w:b/>
        </w:rPr>
        <w:t xml:space="preserve">Finanse i księgowość</w:t>
      </w:r>
      <w:r>
        <w:rPr>
          <w:rFonts w:ascii="calibri" w:hAnsi="calibri" w:eastAsia="calibri" w:cs="calibri"/>
          <w:sz w:val="24"/>
          <w:szCs w:val="24"/>
        </w:rPr>
        <w:t xml:space="preserve"> (6,8 proc.), </w:t>
      </w:r>
      <w:r>
        <w:rPr>
          <w:rFonts w:ascii="calibri" w:hAnsi="calibri" w:eastAsia="calibri" w:cs="calibri"/>
          <w:sz w:val="24"/>
          <w:szCs w:val="24"/>
          <w:b/>
        </w:rPr>
        <w:t xml:space="preserve">Programowanie Fullstack</w:t>
      </w:r>
      <w:r>
        <w:rPr>
          <w:rFonts w:ascii="calibri" w:hAnsi="calibri" w:eastAsia="calibri" w:cs="calibri"/>
          <w:sz w:val="24"/>
          <w:szCs w:val="24"/>
        </w:rPr>
        <w:t xml:space="preserve"> (6 proc.), </w:t>
      </w:r>
      <w:r>
        <w:rPr>
          <w:rFonts w:ascii="calibri" w:hAnsi="calibri" w:eastAsia="calibri" w:cs="calibri"/>
          <w:sz w:val="24"/>
          <w:szCs w:val="24"/>
          <w:b/>
        </w:rPr>
        <w:t xml:space="preserve">Analiza danych</w:t>
      </w:r>
      <w:r>
        <w:rPr>
          <w:rFonts w:ascii="calibri" w:hAnsi="calibri" w:eastAsia="calibri" w:cs="calibri"/>
          <w:sz w:val="24"/>
          <w:szCs w:val="24"/>
        </w:rPr>
        <w:t xml:space="preserve"> (6 proc.),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klienta</w:t>
      </w:r>
      <w:r>
        <w:rPr>
          <w:rFonts w:ascii="calibri" w:hAnsi="calibri" w:eastAsia="calibri" w:cs="calibri"/>
          <w:sz w:val="24"/>
          <w:szCs w:val="24"/>
        </w:rPr>
        <w:t xml:space="preserve"> (5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</w:t>
      </w:r>
      <w:r>
        <w:rPr>
          <w:rFonts w:ascii="calibri" w:hAnsi="calibri" w:eastAsia="calibri" w:cs="calibri"/>
          <w:sz w:val="24"/>
          <w:szCs w:val="24"/>
        </w:rPr>
        <w:t xml:space="preserve"> (4,8 proc.).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Najwyższe zarobki w IT, największy wzrost wynagrodzeń w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Najwyższe widełki oferowanych wynagrodzeń można znaleźć w kategoriach IT.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Analizy danych</w:t>
      </w:r>
      <w:r>
        <w:rPr>
          <w:rFonts w:ascii="calibri" w:hAnsi="calibri" w:eastAsia="calibri" w:cs="calibri"/>
          <w:sz w:val="24"/>
          <w:szCs w:val="24"/>
        </w:rPr>
        <w:t xml:space="preserve"> jest to od 22,8 tys. do 27 tys. zł netto (+ VAT) na kontrakcie B2B i 15-21 tys. zł brutto na umowie o pracę. Z kolei w obu kategoriach związanych z programowaniem jest to 20,1-25,2 tys. zł netto (+ VAT) na kontrakcie B2B lub 15-20 tys. zł brutto (</w:t>
      </w:r>
      <w:r>
        <w:rPr>
          <w:rFonts w:ascii="calibri" w:hAnsi="calibri" w:eastAsia="calibri" w:cs="calibri"/>
          <w:sz w:val="24"/>
          <w:szCs w:val="24"/>
          <w:b/>
        </w:rPr>
        <w:t xml:space="preserve">Fullstack</w:t>
      </w:r>
      <w:r>
        <w:rPr>
          <w:rFonts w:ascii="calibri" w:hAnsi="calibri" w:eastAsia="calibri" w:cs="calibri"/>
          <w:sz w:val="24"/>
          <w:szCs w:val="24"/>
        </w:rPr>
        <w:t xml:space="preserve">) i 15-22 tys. zł brutto (</w:t>
      </w:r>
      <w:r>
        <w:rPr>
          <w:rFonts w:ascii="calibri" w:hAnsi="calibri" w:eastAsia="calibri" w:cs="calibri"/>
          <w:sz w:val="24"/>
          <w:szCs w:val="24"/>
          <w:b/>
        </w:rPr>
        <w:t xml:space="preserve">Backend</w:t>
      </w:r>
      <w:r>
        <w:rPr>
          <w:rFonts w:ascii="calibri" w:hAnsi="calibri" w:eastAsia="calibri" w:cs="calibri"/>
          <w:sz w:val="24"/>
          <w:szCs w:val="24"/>
        </w:rPr>
        <w:t xml:space="preserve">) na umowie o pracę.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pozostałych branżach </w:t>
      </w:r>
      <w:r>
        <w:rPr>
          <w:rFonts w:ascii="calibri" w:hAnsi="calibri" w:eastAsia="calibri" w:cs="calibri"/>
          <w:sz w:val="24"/>
          <w:szCs w:val="24"/>
          <w:b/>
        </w:rPr>
        <w:t xml:space="preserve">kwoty pięciocyfrowe znajdziemy tylko w Finansach i księgowości</w:t>
      </w:r>
      <w:r>
        <w:rPr>
          <w:rFonts w:ascii="calibri" w:hAnsi="calibri" w:eastAsia="calibri" w:cs="calibri"/>
          <w:sz w:val="24"/>
          <w:szCs w:val="24"/>
        </w:rPr>
        <w:t xml:space="preserve"> oraz w górnych widełkach w kategoriach Sprzedaż i Marketing: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Finanse i księgowość</w:t>
      </w:r>
      <w:r>
        <w:rPr>
          <w:rFonts w:ascii="calibri" w:hAnsi="calibri" w:eastAsia="calibri" w:cs="calibri"/>
          <w:sz w:val="24"/>
          <w:szCs w:val="24"/>
        </w:rPr>
        <w:t xml:space="preserve">: 10-14,7 tys. zł netto (+ VAT) na kontrakcie B2B i 8-11,5 tys. zł brutto na umowie o pracę;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Sprzedaż</w:t>
      </w:r>
      <w:r>
        <w:rPr>
          <w:rFonts w:ascii="calibri" w:hAnsi="calibri" w:eastAsia="calibri" w:cs="calibri"/>
          <w:sz w:val="24"/>
          <w:szCs w:val="24"/>
        </w:rPr>
        <w:t xml:space="preserve">: 8,4-14 tys. zł netto (+ VAT) na kontrakcie B2B i 7,5-10 tys. zł brutto na umowie o pracę;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Marketing</w:t>
      </w:r>
      <w:r>
        <w:rPr>
          <w:rFonts w:ascii="calibri" w:hAnsi="calibri" w:eastAsia="calibri" w:cs="calibri"/>
          <w:sz w:val="24"/>
          <w:szCs w:val="24"/>
        </w:rPr>
        <w:t xml:space="preserve">: 7,5-11 tys. zł netto (+ VAT) na kontrakcie B2B i 7-10 tys. zł brutto na umowie o pracę;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klienta</w:t>
      </w:r>
      <w:r>
        <w:rPr>
          <w:rFonts w:ascii="calibri" w:hAnsi="calibri" w:eastAsia="calibri" w:cs="calibri"/>
          <w:sz w:val="24"/>
          <w:szCs w:val="24"/>
        </w:rPr>
        <w:t xml:space="preserve">: 7-9 tys. zł netto (+ VAT) na kontrakcie B2B i 6-9 tys. zł brutto na umowie o pracę.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Przyglądając się wynagrodzeniom w poszczególnych branżach, warto patrzeć nie tylko na ich wysokość, ale również dynamikę zmian. Chociaż w kategoriach z branży IT widełki są najwyższe, to, w porównaniu do stycznia ubiegłego roku, widać wyraźne zahamowanie wzrostu, a nawet spadek. Z kolei w sprzedaży oferowane wynagrodzenia rok do roku znacząco wzrosły – w dolnych widełkach o 18,2 proc. na B2B i 15,4 proc. na umowie o pracę, a w górnych o 27,3 proc. na B2B i 9,5 proc. na umowie o pracę. Również w marketingu, finansach i księgowości oraz obsłudze klienta widać wzrosty oferowanych wynagrodzeń na poziomie do kilkunastu procent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opisywanych kategoriach w styczniu 2025 r. zaobserwowano następujące zmiany widełek wynagrodzeń w stosunku do stycznia 2024 r.: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7px; height:3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MIN – procentowy wzrost/spadek wysokości dolnych widełek w porównaniu ze styczniem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MAX – procentowy wzrost/spadek wysokości górnych widełek w porównaniu ze styczniem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umów B2B – kwoty w złotych netto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umów o pracę – kwoty w złotych brutto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Zdecydowanie wraca praca stacjonarna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wszystkich ofert pracy opublikowanych na No Fluff Jobs w styczniu 2025 r. najwięcej – </w:t>
      </w:r>
      <w:r>
        <w:rPr>
          <w:rFonts w:ascii="calibri" w:hAnsi="calibri" w:eastAsia="calibri" w:cs="calibri"/>
          <w:sz w:val="24"/>
          <w:szCs w:val="24"/>
          <w:b/>
        </w:rPr>
        <w:t xml:space="preserve">47 proc.</w:t>
      </w:r>
      <w:r>
        <w:rPr>
          <w:rFonts w:ascii="calibri" w:hAnsi="calibri" w:eastAsia="calibri" w:cs="calibri"/>
          <w:sz w:val="24"/>
          <w:szCs w:val="24"/>
        </w:rPr>
        <w:t xml:space="preserve"> – wskazywało na </w:t>
      </w:r>
      <w:r>
        <w:rPr>
          <w:rFonts w:ascii="calibri" w:hAnsi="calibri" w:eastAsia="calibri" w:cs="calibri"/>
          <w:sz w:val="24"/>
          <w:szCs w:val="24"/>
          <w:b/>
        </w:rPr>
        <w:t xml:space="preserve">pracę stacjonarną</w:t>
      </w:r>
      <w:r>
        <w:rPr>
          <w:rFonts w:ascii="calibri" w:hAnsi="calibri" w:eastAsia="calibri" w:cs="calibri"/>
          <w:sz w:val="24"/>
          <w:szCs w:val="24"/>
        </w:rPr>
        <w:t xml:space="preserve">. Możliwość pracy zdalnej była wymieniana w 29,5 proc., a hybrydowej w 23,7 proc. W porównaniu do grudnia ubiegłego roku</w:t>
      </w:r>
      <w:r>
        <w:rPr>
          <w:rFonts w:ascii="calibri" w:hAnsi="calibri" w:eastAsia="calibri" w:cs="calibri"/>
          <w:sz w:val="24"/>
          <w:szCs w:val="24"/>
          <w:b/>
        </w:rPr>
        <w:t xml:space="preserve"> odsetek ogłoszeń z pracą stacjonarną wzrósł o ponad 6 p.p.</w:t>
      </w:r>
      <w:r>
        <w:rPr>
          <w:rFonts w:ascii="calibri" w:hAnsi="calibri" w:eastAsia="calibri" w:cs="calibri"/>
          <w:sz w:val="24"/>
          <w:szCs w:val="24"/>
        </w:rPr>
        <w:t xml:space="preserve">, a praca zdalna i hybrydowa straciły po 3 p.p. Z kolei w porównaniu ze styczniem 2024 r. praca hybrydowa zyskała 4 p.p., stacjonarna 1 p.p., a zdalna straciła 5 p.p. udziału.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28,4 proc.</w:t>
      </w:r>
      <w:r>
        <w:rPr>
          <w:rFonts w:ascii="calibri" w:hAnsi="calibri" w:eastAsia="calibri" w:cs="calibri"/>
          <w:sz w:val="24"/>
          <w:szCs w:val="24"/>
        </w:rPr>
        <w:t xml:space="preserve"> omawianych ofert ze stycznia 2025 r. dotyczyło pracy </w:t>
      </w:r>
      <w:r>
        <w:rPr>
          <w:rFonts w:ascii="calibri" w:hAnsi="calibri" w:eastAsia="calibri" w:cs="calibri"/>
          <w:sz w:val="24"/>
          <w:szCs w:val="24"/>
          <w:b/>
        </w:rPr>
        <w:t xml:space="preserve">w Warszawie</w:t>
      </w:r>
      <w:r>
        <w:rPr>
          <w:rFonts w:ascii="calibri" w:hAnsi="calibri" w:eastAsia="calibri" w:cs="calibri"/>
          <w:sz w:val="24"/>
          <w:szCs w:val="24"/>
        </w:rPr>
        <w:t xml:space="preserve">. Drugą pozycję zajął </w:t>
      </w:r>
      <w:r>
        <w:rPr>
          <w:rFonts w:ascii="calibri" w:hAnsi="calibri" w:eastAsia="calibri" w:cs="calibri"/>
          <w:sz w:val="24"/>
          <w:szCs w:val="24"/>
          <w:b/>
        </w:rPr>
        <w:t xml:space="preserve">Kraków</w:t>
      </w:r>
      <w:r>
        <w:rPr>
          <w:rFonts w:ascii="calibri" w:hAnsi="calibri" w:eastAsia="calibri" w:cs="calibri"/>
          <w:sz w:val="24"/>
          <w:szCs w:val="24"/>
        </w:rPr>
        <w:t xml:space="preserve"> (14,9 proc.), a kolejne </w:t>
      </w:r>
      <w:r>
        <w:rPr>
          <w:rFonts w:ascii="calibri" w:hAnsi="calibri" w:eastAsia="calibri" w:cs="calibri"/>
          <w:sz w:val="24"/>
          <w:szCs w:val="24"/>
          <w:b/>
        </w:rPr>
        <w:t xml:space="preserve">Trójmiasto</w:t>
      </w:r>
      <w:r>
        <w:rPr>
          <w:rFonts w:ascii="calibri" w:hAnsi="calibri" w:eastAsia="calibri" w:cs="calibri"/>
          <w:sz w:val="24"/>
          <w:szCs w:val="24"/>
        </w:rPr>
        <w:t xml:space="preserve"> (10,4 proc.), </w:t>
      </w:r>
      <w:r>
        <w:rPr>
          <w:rFonts w:ascii="calibri" w:hAnsi="calibri" w:eastAsia="calibri" w:cs="calibri"/>
          <w:sz w:val="24"/>
          <w:szCs w:val="24"/>
          <w:b/>
        </w:rPr>
        <w:t xml:space="preserve">Wrocław</w:t>
      </w:r>
      <w:r>
        <w:rPr>
          <w:rFonts w:ascii="calibri" w:hAnsi="calibri" w:eastAsia="calibri" w:cs="calibri"/>
          <w:sz w:val="24"/>
          <w:szCs w:val="24"/>
        </w:rPr>
        <w:t xml:space="preserve"> (8,6 proc.), </w:t>
      </w:r>
      <w:r>
        <w:rPr>
          <w:rFonts w:ascii="calibri" w:hAnsi="calibri" w:eastAsia="calibri" w:cs="calibri"/>
          <w:sz w:val="24"/>
          <w:szCs w:val="24"/>
          <w:b/>
        </w:rPr>
        <w:t xml:space="preserve">Katowice</w:t>
      </w:r>
      <w:r>
        <w:rPr>
          <w:rFonts w:ascii="calibri" w:hAnsi="calibri" w:eastAsia="calibri" w:cs="calibri"/>
          <w:sz w:val="24"/>
          <w:szCs w:val="24"/>
        </w:rPr>
        <w:t xml:space="preserve"> (5,6 proc.) i </w:t>
      </w:r>
      <w:r>
        <w:rPr>
          <w:rFonts w:ascii="calibri" w:hAnsi="calibri" w:eastAsia="calibri" w:cs="calibri"/>
          <w:sz w:val="24"/>
          <w:szCs w:val="24"/>
          <w:b/>
        </w:rPr>
        <w:t xml:space="preserve">Poznań</w:t>
      </w:r>
      <w:r>
        <w:rPr>
          <w:rFonts w:ascii="calibri" w:hAnsi="calibri" w:eastAsia="calibri" w:cs="calibri"/>
          <w:sz w:val="24"/>
          <w:szCs w:val="24"/>
        </w:rPr>
        <w:t xml:space="preserve"> (5,5 proc.).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2026-08-24T06:43:28+02:00</dcterms:created>
  <dcterms:modified xsi:type="dcterms:W3CDTF">2026-08-24T06:43:28+02:00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