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wciąż są najwyższe, ale ich wzrost wyhamował. Najszybciej rosną wynagrodzenia w sprzedaży – na kontrakcie B2B nawet o 27,3 proc.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nowych ofert pracy w styczniu 2025 r. opublikowano w kategorii Sprzedaż, jak wynika z najnowszej analizy portalu No Fluff Jobs. Kolejne miejsca zajmują: Programowanie Backend, Finanse i księgowość, Programowanie Fullstack, Analiza danych, Obsługa klienta i Marketing. Najwyższe zarobki, przekraczające nawet 20 tys. zł miesięcznie, można znaleźć w kategoriach związanych z IT, ale – porównując rok do roku – widać wyhamowanie ich wzrostu, a nawet spadek. Z kolei w sprzedaży oferowane wynagrodzenia rok do roku wzrosły w dolnych widełkach o 18,2 proc. na B2B i 15,4 proc. na umowie o pracę, a w górnych o 27,3 proc. na B2B i 9,5 proc. na umowie o pracę. Również w pozostałych analizowanych kategoriach spoza branży IT odnotowano wzrosty do kilkunastu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w którym wiele osób decyduje się na szukanie nowej pracy. Nie inaczej było 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aplikujących na oferty pracy w stosunku do grudnia 2024 r. wzrosła aż o 60 proc.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</w:t>
      </w:r>
      <w:r>
        <w:rPr>
          <w:rFonts w:ascii="calibri" w:hAnsi="calibri" w:eastAsia="calibri" w:cs="calibri"/>
          <w:sz w:val="24"/>
          <w:szCs w:val="24"/>
        </w:rPr>
        <w:t xml:space="preserve"> wszystkich branż obecnych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ogłoszeniami, który od 10 lat ułatwia kandydatom i kandydatkom znalezienie pracy dopasowanej do ich oczekiwań finansowych. Jednak w porównaniu ze styczniem ubiegłego roku widać blisko 15-procentowy spadek liczby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ogłoszeń o pracy opublikowano w kategorii Sprzedaż</w:t>
      </w:r>
      <w:r>
        <w:rPr>
          <w:rFonts w:ascii="calibri" w:hAnsi="calibri" w:eastAsia="calibri" w:cs="calibri"/>
          <w:sz w:val="24"/>
          <w:szCs w:val="24"/>
        </w:rPr>
        <w:t xml:space="preserve"> – stanowią one aż 14 proc. wszystkich nowych ofert z tego miesiąca. Kolejne miejsca zajęły: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 (12 proc. wszystkich opublikowanych w styczniu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(6,8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(4,8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w IT, największy wzrost wynagrodzeń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widełki oferowanych wynagrodzeń można znaleźć w kategoriach IT.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danych</w:t>
      </w:r>
      <w:r>
        <w:rPr>
          <w:rFonts w:ascii="calibri" w:hAnsi="calibri" w:eastAsia="calibri" w:cs="calibri"/>
          <w:sz w:val="24"/>
          <w:szCs w:val="24"/>
        </w:rPr>
        <w:t xml:space="preserve"> jest to od 22,8 tys. do 27 tys. zł netto (+ VAT) na kontrakcie B2B i 15-21 tys. zł brutto na umowie o pracę. Z kolei w obu kategoriach związanych z programowaniem jest to 20,1-25,2 tys. zł netto (+ VAT) na kontrakcie B2B lub 15-20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) i 15-22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)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kwoty pięciocyfrowe znajdziemy tylko w Finansach i księgowości</w:t>
      </w:r>
      <w:r>
        <w:rPr>
          <w:rFonts w:ascii="calibri" w:hAnsi="calibri" w:eastAsia="calibri" w:cs="calibri"/>
          <w:sz w:val="24"/>
          <w:szCs w:val="24"/>
        </w:rPr>
        <w:t xml:space="preserve"> oraz w górnych widełkach w kategoriach Sprzedaż i Marketing: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10-14,7 tys. zł netto (+ VAT) na kontrakcie B2B i 8-11,5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8,4-14 tys. zł netto (+ VAT) na kontrakcie B2B i 7,5-10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7,5-11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7-9 tys. zł netto (+ VAT) na kontrakcie B2B i 6-9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wynagrodzeniom w poszczególnych branżach, warto patrzeć nie tylko na ich wysokość, ale również dynamikę zmian. Chociaż w kategoriach z branży IT widełki są najwyższe, to, w porównaniu do stycznia ubiegłego roku, widać wyraźne zahamowanie wzrostu, a nawet spadek. Z kolei w sprzedaży oferowane wynagrodzenia rok do roku znacząco wzrosły – w dolnych widełkach o 18,2 proc. na B2B i 15,4 proc. na umowie o pracę, a w górnych o 27,3 proc. na B2B i 9,5 proc. na umowie o pracę. Również w marketingu, finansach i księgowości oraz obsłudze klienta widać wzrosty oferowanych wynagrodzeń na poziomie do kilkunastu procent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opisywanych kategoriach w styczniu 2025 r. zaobserwowano następujące zmiany widełek wynagrodzeń w stosunku do stycznia 2024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7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MIN – procentowy wzrost/spadek wysokości dolnych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MAX – procentowy wzrost/spadek wysokości górnych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B2B – kwoty w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o pracę – kwoty w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Zdecydowanie wraca praca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ofert pracy opublikowanych na No Fluff Jobs w styczniu 2025 r. najwięcej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– wskazywało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. Możliwość pracy zdalnej była wymieniana w 29,5 proc., a hybrydowej w 23,7 proc. W porównaniu do grudnia ubiegłego roku</w:t>
      </w:r>
      <w:r>
        <w:rPr>
          <w:rFonts w:ascii="calibri" w:hAnsi="calibri" w:eastAsia="calibri" w:cs="calibri"/>
          <w:sz w:val="24"/>
          <w:szCs w:val="24"/>
          <w:b/>
        </w:rPr>
        <w:t xml:space="preserve"> odsetek ogłoszeń z pracą stacjonarną wzrósł o ponad 6 p.p.</w:t>
      </w:r>
      <w:r>
        <w:rPr>
          <w:rFonts w:ascii="calibri" w:hAnsi="calibri" w:eastAsia="calibri" w:cs="calibri"/>
          <w:sz w:val="24"/>
          <w:szCs w:val="24"/>
        </w:rPr>
        <w:t xml:space="preserve">, a praca zdalna i hybrydowa straciły po 3 p.p. Z kolei w porównaniu ze styczniem 2024 r. praca hybrydowa zyskała 4 p.p., stacjonarna 1 p.p., a zdalna straciła 5 p.p.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28,4 proc.</w:t>
      </w:r>
      <w:r>
        <w:rPr>
          <w:rFonts w:ascii="calibri" w:hAnsi="calibri" w:eastAsia="calibri" w:cs="calibri"/>
          <w:sz w:val="24"/>
          <w:szCs w:val="24"/>
        </w:rPr>
        <w:t xml:space="preserve"> omawianych ofert ze stycznia 2025 r.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Drugą pozycję zajął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(14,9 proc.), a kolejne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(10,4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(8,6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(5,6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(5,5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2026-01-30T18:26:02+01:00</dcterms:created>
  <dcterms:modified xsi:type="dcterms:W3CDTF">2026-01-30T18:26:02+01:00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