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Wynagrodzenia w finansach i księgowości na B2B wzrosły nawet o 34 proc., a na umowie o pracę… spadły o 11 proc. Najwyższe pensje nadal w IT. Podsumowanie 1. kwartału 2025 r. na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trzech miesiącach roku najwyższe wynagrodzenia oferowano w kategoriach IT, jak Analiza danych, programowanie Fullstack i Backend czy DevOps, jak wynika z danych No Fluff Jobs. We wszystkich tych specjalizacjach widełki wynagrodzeń na kontrakcie B2B przekraczają 20 tys. zł. Wśród analizowanych branż istotne zmiany widełek wynagrodzeń w stosunku do końca 2024 r. widać w kategoriach Finanse i księgowość, Obsługa klienta i Sprzedaż. Tylko w Marketingu pensje pozostały bez zmian. Ponad ¼ ogłoszeń w 1. kwartale 2025 r. to oferty pracy w Warszawie. Kolejne miejsca zajmują Kraków, Wrocław i Trójmiasto.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2025 r.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ofert pracy w serwisie nofluffjobs.com</w:t>
      </w:r>
      <w:r>
        <w:rPr>
          <w:rFonts w:ascii="calibri" w:hAnsi="calibri" w:eastAsia="calibri" w:cs="calibri"/>
          <w:sz w:val="24"/>
          <w:szCs w:val="24"/>
        </w:rPr>
        <w:t xml:space="preserve"> opublikowano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Backend</w:t>
      </w:r>
      <w:r>
        <w:rPr>
          <w:rFonts w:ascii="calibri" w:hAnsi="calibri" w:eastAsia="calibri" w:cs="calibri"/>
          <w:sz w:val="24"/>
          <w:szCs w:val="24"/>
        </w:rPr>
        <w:t xml:space="preserve">. Stanowiły one </w:t>
      </w:r>
      <w:r>
        <w:rPr>
          <w:rFonts w:ascii="calibri" w:hAnsi="calibri" w:eastAsia="calibri" w:cs="calibri"/>
          <w:sz w:val="24"/>
          <w:szCs w:val="24"/>
          <w:b/>
        </w:rPr>
        <w:t xml:space="preserve">13 proc.</w:t>
      </w:r>
      <w:r>
        <w:rPr>
          <w:rFonts w:ascii="calibri" w:hAnsi="calibri" w:eastAsia="calibri" w:cs="calibri"/>
          <w:sz w:val="24"/>
          <w:szCs w:val="24"/>
        </w:rPr>
        <w:t xml:space="preserve"> wszystkich opublikowanych ogłoszeń, jak wynika z najnowszej analizy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oczekiwań finansowych. Niewiele mniej ofert – 11 proc. – opublikowano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. Sporo ogłoszeń dostępnych również było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Finanse i księgowość</w:t>
      </w:r>
      <w:r>
        <w:rPr>
          <w:rFonts w:ascii="calibri" w:hAnsi="calibri" w:eastAsia="calibri" w:cs="calibri"/>
          <w:sz w:val="24"/>
          <w:szCs w:val="24"/>
        </w:rPr>
        <w:t xml:space="preserve"> (7,5 proc. ogłoszeń), </w:t>
      </w:r>
      <w:r>
        <w:rPr>
          <w:rFonts w:ascii="calibri" w:hAnsi="calibri" w:eastAsia="calibri" w:cs="calibri"/>
          <w:sz w:val="24"/>
          <w:szCs w:val="24"/>
          <w:b/>
        </w:rPr>
        <w:t xml:space="preserve">Analiza danych</w:t>
      </w:r>
      <w:r>
        <w:rPr>
          <w:rFonts w:ascii="calibri" w:hAnsi="calibri" w:eastAsia="calibri" w:cs="calibri"/>
          <w:sz w:val="24"/>
          <w:szCs w:val="24"/>
        </w:rPr>
        <w:t xml:space="preserve"> (7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Fullstack</w:t>
      </w:r>
      <w:r>
        <w:rPr>
          <w:rFonts w:ascii="calibri" w:hAnsi="calibri" w:eastAsia="calibri" w:cs="calibri"/>
          <w:sz w:val="24"/>
          <w:szCs w:val="24"/>
        </w:rPr>
        <w:t xml:space="preserve"> (7 proc.),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 (5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(4,5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</w:t>
      </w:r>
      <w:r>
        <w:rPr>
          <w:rFonts w:ascii="calibri" w:hAnsi="calibri" w:eastAsia="calibri" w:cs="calibri"/>
          <w:sz w:val="24"/>
          <w:szCs w:val="24"/>
        </w:rPr>
        <w:t xml:space="preserve">(4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dobie nadchodzących zmian w prawie, które wymusza dyrektywa UE o równym wynagradzaniu, widać jak zmienia się krajobraz na polskim rynku pracy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Widełkowa rewolucja, którą zapoczątkowaliśmy z No Fluff Jobs w branży IT w 2014 roku, obejmuje coraz więcej sektorów rynku i na naszym portalu można znaleźć coraz więcej ogłoszeń dla handlowców, księgowych czy marketerów. Ten trend będzie jeszcze postępować, w ciągu nadchodzących 12 miesięcy powinniśmy zauważać globalnie więcej ofert pracy z podanym wynagrodzeniem, co na nofluffjobs.com jest od zawsze wymogiem obowiązkowym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Tomasz Bujok,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Duży wzrost wynagrodzeń w Finansach i księgowości na kontrakcie B2B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34 proc.</w:t>
      </w:r>
      <w:r>
        <w:rPr>
          <w:rFonts w:ascii="calibri" w:hAnsi="calibri" w:eastAsia="calibri" w:cs="calibri"/>
          <w:sz w:val="24"/>
          <w:szCs w:val="24"/>
        </w:rPr>
        <w:t xml:space="preserve"> w stosunku do ostatniego kwartału 2024 r. wzrosły dolne widełki wynagrodzeń na kontrakcie B2B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Finanse i księgowość</w:t>
      </w:r>
      <w:r>
        <w:rPr>
          <w:rFonts w:ascii="calibri" w:hAnsi="calibri" w:eastAsia="calibri" w:cs="calibri"/>
          <w:sz w:val="24"/>
          <w:szCs w:val="24"/>
        </w:rPr>
        <w:t xml:space="preserve">. W górnych widełkach wynagrodzeń na kontrakcie B2B w tej kategorii odnotowano wzrost o 8 proc. Natomiast w przypadku zatrudnienia na podstawie umowy o pracę wynagrodzenia wyraźnie spadły – o 11 proc. w dolnych widełkach i 8 proc. w górnych widełkach.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widać również w górnych widełkach wynagrodzeń na umowie o pracę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 (wzrost o 19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 (wzrost o 11 proc.). Bez żadnych zmian pozostają wynagrodzenia w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Ogółem w analizowanych kategoriach w 1. kwartale 2025 r. zaobserwowano następujące zmiany widełek wynagrodzeń w stosunku do 4. kwartału 2024 r.: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najwyższe widełki wynagrodzeń oferowane są w branży IT. W kategorii</w:t>
      </w:r>
      <w:r>
        <w:rPr>
          <w:rFonts w:ascii="calibri" w:hAnsi="calibri" w:eastAsia="calibri" w:cs="calibri"/>
          <w:sz w:val="24"/>
          <w:szCs w:val="24"/>
          <w:b/>
        </w:rPr>
        <w:t xml:space="preserve"> Analiza danych</w:t>
      </w:r>
      <w:r>
        <w:rPr>
          <w:rFonts w:ascii="calibri" w:hAnsi="calibri" w:eastAsia="calibri" w:cs="calibri"/>
          <w:sz w:val="24"/>
          <w:szCs w:val="24"/>
        </w:rPr>
        <w:t xml:space="preserve"> wynoszą one od 22 tys. do 27,7 tys. zł netto (+ VAT) na kontrakcie B2B oraz od 15 do 22 tys. zł brutto na umowie o pracę. Kolejne pozycje w najbardziej zasobnych w oferty kategoriach zajmują: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: 21,8-26,8 tys. zł netto (+ VAT) na kontrakcie B2B i 16-23 tys. zł brutto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programowanie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: 20,2-26 tys. zł netto (+ VAT) na kontrakcie B2B i 15-20 tys. zł brutto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programowanie</w:t>
      </w:r>
      <w:r>
        <w:rPr>
          <w:rFonts w:ascii="calibri" w:hAnsi="calibri" w:eastAsia="calibri" w:cs="calibri"/>
          <w:sz w:val="24"/>
          <w:szCs w:val="24"/>
          <w:b/>
        </w:rPr>
        <w:t xml:space="preserve"> Backend</w:t>
      </w:r>
      <w:r>
        <w:rPr>
          <w:rFonts w:ascii="calibri" w:hAnsi="calibri" w:eastAsia="calibri" w:cs="calibri"/>
          <w:sz w:val="24"/>
          <w:szCs w:val="24"/>
        </w:rPr>
        <w:t xml:space="preserve">: 20,2-25,5 tys. zł netto (+ VAT) na kontrakcie B2B i 15-21 tys. zł brutto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Finanse i księgowość</w:t>
      </w:r>
      <w:r>
        <w:rPr>
          <w:rFonts w:ascii="calibri" w:hAnsi="calibri" w:eastAsia="calibri" w:cs="calibri"/>
          <w:sz w:val="24"/>
          <w:szCs w:val="24"/>
        </w:rPr>
        <w:t xml:space="preserve">: 10,7-14 tys. zł netto (+ VAT) na kontrakcie B2B i 8-11 tys. brutto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: 8-12 tys. zł netto (+ VAT) na kontrakcie B2B i 7-10 tys. brutto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: 7-10 tys. zł netto (+ VAT) na kontrakcie B2B i 7-10 tys. zł brutto na umowie o pracę;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: 6,3-8,8 tys. zł netto (+ VAT) na kontrakcie B2B i 5,1-7,2 tys.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Mimo tego, że z kwartału na kwartał widać zmiany w oferowanych wynagrodzeniach, w niektórych kategoriach nawet na poziomie 20-30 proc., to trzeba głośno powiedzieć: zarobki od dłuższego czasu stabilizują się we wszystkich branżach. Z powodu inflacji w poprzednich latach, wciąż trwającej wojny za wschodnią granicą, ale także zablokowania środków z KPO, przedsiębiorcy w Polsce postawili na przeczekanie i utrzymanie obecnego biznesu. Odbiło się to także na wynagrodzeniach, które nie mogą rosnąć, jeśli same firmy nie rozwijają się już w spektakularnym tempie. Do tego jest dziś z kogo wybierać, bo pracy szuka więcej osób niż jeszcze rok temu, więc pracodawcy nie mają presji na podwyższanie płac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¼ ofert pracy dotyczy Warszawy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trzech miesiącach 2025 r. w stosunku do ostatniego kwartału 2024 r. odnotowano </w:t>
      </w:r>
      <w:r>
        <w:rPr>
          <w:rFonts w:ascii="calibri" w:hAnsi="calibri" w:eastAsia="calibri" w:cs="calibri"/>
          <w:sz w:val="24"/>
          <w:szCs w:val="24"/>
          <w:b/>
        </w:rPr>
        <w:t xml:space="preserve">10-procentowy wzrost liczby osób aplikujących na oferty pracy </w:t>
      </w:r>
      <w:r>
        <w:rPr>
          <w:rFonts w:ascii="calibri" w:hAnsi="calibri" w:eastAsia="calibri" w:cs="calibri"/>
          <w:sz w:val="24"/>
          <w:szCs w:val="24"/>
        </w:rPr>
        <w:t xml:space="preserve">– jednak w porównaniu do analogicznego okresu ubiegłego roku widać spadek aż o 20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ofert pracy opublikowanych w pierwszym kwartale 2025 r. na No Fluff Jobs – aż </w:t>
      </w:r>
      <w:r>
        <w:rPr>
          <w:rFonts w:ascii="calibri" w:hAnsi="calibri" w:eastAsia="calibri" w:cs="calibri"/>
          <w:sz w:val="24"/>
          <w:szCs w:val="24"/>
          <w:b/>
        </w:rPr>
        <w:t xml:space="preserve">27,5 proc.</w:t>
      </w:r>
      <w:r>
        <w:rPr>
          <w:rFonts w:ascii="calibri" w:hAnsi="calibri" w:eastAsia="calibri" w:cs="calibri"/>
          <w:sz w:val="24"/>
          <w:szCs w:val="24"/>
        </w:rPr>
        <w:t xml:space="preserve"> – dotyczyło pracy </w:t>
      </w:r>
      <w:r>
        <w:rPr>
          <w:rFonts w:ascii="calibri" w:hAnsi="calibri" w:eastAsia="calibri" w:cs="calibri"/>
          <w:sz w:val="24"/>
          <w:szCs w:val="24"/>
          <w:b/>
        </w:rPr>
        <w:t xml:space="preserve">w Warszawie</w:t>
      </w:r>
      <w:r>
        <w:rPr>
          <w:rFonts w:ascii="calibri" w:hAnsi="calibri" w:eastAsia="calibri" w:cs="calibri"/>
          <w:sz w:val="24"/>
          <w:szCs w:val="24"/>
        </w:rPr>
        <w:t xml:space="preserve">. Kolejnymi najczęściej wymienianymi lokalizacjami były </w:t>
      </w:r>
      <w:r>
        <w:rPr>
          <w:rFonts w:ascii="calibri" w:hAnsi="calibri" w:eastAsia="calibri" w:cs="calibri"/>
          <w:sz w:val="24"/>
          <w:szCs w:val="24"/>
          <w:b/>
        </w:rPr>
        <w:t xml:space="preserve">Kraków </w:t>
      </w:r>
      <w:r>
        <w:rPr>
          <w:rFonts w:ascii="calibri" w:hAnsi="calibri" w:eastAsia="calibri" w:cs="calibri"/>
          <w:sz w:val="24"/>
          <w:szCs w:val="24"/>
        </w:rPr>
        <w:t xml:space="preserve">(14,5 proc. ogłoszeń), następnie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</w:t>
      </w:r>
      <w:r>
        <w:rPr>
          <w:rFonts w:ascii="calibri" w:hAnsi="calibri" w:eastAsia="calibri" w:cs="calibri"/>
          <w:sz w:val="24"/>
          <w:szCs w:val="24"/>
        </w:rPr>
        <w:t xml:space="preserve"> (9 proc.), </w:t>
      </w:r>
      <w:r>
        <w:rPr>
          <w:rFonts w:ascii="calibri" w:hAnsi="calibri" w:eastAsia="calibri" w:cs="calibri"/>
          <w:sz w:val="24"/>
          <w:szCs w:val="24"/>
          <w:b/>
        </w:rPr>
        <w:t xml:space="preserve">Trójmiasto</w:t>
      </w:r>
      <w:r>
        <w:rPr>
          <w:rFonts w:ascii="calibri" w:hAnsi="calibri" w:eastAsia="calibri" w:cs="calibri"/>
          <w:sz w:val="24"/>
          <w:szCs w:val="24"/>
        </w:rPr>
        <w:t xml:space="preserve"> (9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(6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Katowice </w:t>
      </w:r>
      <w:r>
        <w:rPr>
          <w:rFonts w:ascii="calibri" w:hAnsi="calibri" w:eastAsia="calibri" w:cs="calibri"/>
          <w:sz w:val="24"/>
          <w:szCs w:val="24"/>
        </w:rPr>
        <w:t xml:space="preserve">(5 proc.).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2026-06-22T04:18:49+02:00</dcterms:created>
  <dcterms:modified xsi:type="dcterms:W3CDTF">2026-06-22T04:18:49+02:00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