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Blisko 70 proc. Polaków chciałoby móc pracować zdalnie, jednak popularność tego trybu pracy spada. Rośnie natomiast popularność pracy hybrydowej – o 5 p. p. rok do roku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Ponad dwie trzecie aktywnych zawodowo Polek i Polaków uważa, że jeśli stanowisko umożliwia pracę zdalną, to decyzja o wyborze takiego trybu powinna należeć do pracownika. Takiego zdania są szczególnie badani od 18 do 24 roku życia (77 proc.) oraz osoby przed emeryturą (73 proc. w wieku 55–64 lata). Tymczasem odsetek ofert pracy zdalnej spada. Rośnie jednak znaczenie modelu hybrydowego, szczególnie wśród ofert pracy dla początkujących kandydatów i kandydatek – ich odsetek rok do roku wzrósł z 15 proc. do ponad 25 proc.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Aż</w:t>
      </w:r>
      <w:r>
        <w:rPr>
          <w:rFonts w:ascii="calibri" w:hAnsi="calibri" w:eastAsia="calibri" w:cs="calibri"/>
          <w:sz w:val="24"/>
          <w:szCs w:val="24"/>
          <w:b/>
        </w:rPr>
        <w:t xml:space="preserve"> 69 proc. aktywnych zawodowo Polek i Polaków chciałoby mieć możliwość samodzielnego wyboru pracy zdalnej</w:t>
      </w:r>
      <w:r>
        <w:rPr>
          <w:rFonts w:ascii="calibri" w:hAnsi="calibri" w:eastAsia="calibri" w:cs="calibri"/>
          <w:sz w:val="24"/>
          <w:szCs w:val="24"/>
        </w:rPr>
        <w:t xml:space="preserve"> na stanowiskach, na których jej wprowadzenie jest obiektywnie możliwe – tak wynika z badania przeprowadzonego na potrzeby </w:t>
      </w:r>
      <w:r>
        <w:rPr>
          <w:rFonts w:ascii="calibri" w:hAnsi="calibri" w:eastAsia="calibri" w:cs="calibri"/>
          <w:sz w:val="24"/>
          <w:szCs w:val="24"/>
          <w:b/>
        </w:rPr>
        <w:t xml:space="preserve">najnowszego raportu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„Sprawiedliwość w pracy”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od No Fluff Jobs</w:t>
      </w:r>
      <w:r>
        <w:rPr>
          <w:rFonts w:ascii="calibri" w:hAnsi="calibri" w:eastAsia="calibri" w:cs="calibri"/>
          <w:sz w:val="24"/>
          <w:szCs w:val="24"/>
        </w:rPr>
        <w:t xml:space="preserve">, polskiego portalu ogłoszeniowego z widełkami wynagrodzeń. Przeciwko takiemu rozwiązaniu jest 12 proc. ankietowanych, a 19 proc. nie ma zdania na ten temat.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dostępnością wyboru trybu pracy zdalnej przez pracownika opowiada się </w:t>
      </w:r>
      <w:r>
        <w:rPr>
          <w:rFonts w:ascii="calibri" w:hAnsi="calibri" w:eastAsia="calibri" w:cs="calibri"/>
          <w:sz w:val="24"/>
          <w:szCs w:val="24"/>
          <w:b/>
        </w:rPr>
        <w:t xml:space="preserve">74 proc. badanych kobiet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65 proc. mężczyzn</w:t>
      </w:r>
      <w:r>
        <w:rPr>
          <w:rFonts w:ascii="calibri" w:hAnsi="calibri" w:eastAsia="calibri" w:cs="calibri"/>
          <w:sz w:val="24"/>
          <w:szCs w:val="24"/>
        </w:rPr>
        <w:t xml:space="preserve">. Patrząc pod kątem wieku, najwięcej zwolenników tego rozwiązania jest wśród najmłodszych i najstarszych badanych – 77 proc. osób od 18 do 24 roku życia i 73 proc. od 55 do 64 roku życia. Wśród ankietowanych od 25 do 34 i od 35 do 44 roku życia jest to po 69 proc., a w grupie osób od 45 do 54 roku życia – tylko 63 proc.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analizy ofert pracy na No Fluff Jobs wynika, że w pierwszym kwartale 2025 r. </w:t>
      </w:r>
      <w:r>
        <w:rPr>
          <w:rFonts w:ascii="calibri" w:hAnsi="calibri" w:eastAsia="calibri" w:cs="calibri"/>
          <w:sz w:val="24"/>
          <w:szCs w:val="24"/>
          <w:b/>
        </w:rPr>
        <w:t xml:space="preserve">możliwość pracy całkowicie zdalnej </w:t>
      </w:r>
      <w:r>
        <w:rPr>
          <w:rFonts w:ascii="calibri" w:hAnsi="calibri" w:eastAsia="calibri" w:cs="calibri"/>
          <w:sz w:val="24"/>
          <w:szCs w:val="24"/>
        </w:rPr>
        <w:t xml:space="preserve">pojawiła się w </w:t>
      </w:r>
      <w:r>
        <w:rPr>
          <w:rFonts w:ascii="calibri" w:hAnsi="calibri" w:eastAsia="calibri" w:cs="calibri"/>
          <w:sz w:val="24"/>
          <w:szCs w:val="24"/>
          <w:b/>
        </w:rPr>
        <w:t xml:space="preserve">32 proc.</w:t>
      </w:r>
      <w:r>
        <w:rPr>
          <w:rFonts w:ascii="calibri" w:hAnsi="calibri" w:eastAsia="calibri" w:cs="calibri"/>
          <w:sz w:val="24"/>
          <w:szCs w:val="24"/>
        </w:rPr>
        <w:t xml:space="preserve"> ogłoszeń,</w:t>
      </w:r>
      <w:r>
        <w:rPr>
          <w:rFonts w:ascii="calibri" w:hAnsi="calibri" w:eastAsia="calibri" w:cs="calibri"/>
          <w:sz w:val="24"/>
          <w:szCs w:val="24"/>
          <w:b/>
        </w:rPr>
        <w:t xml:space="preserve"> stacjonarnej</w:t>
      </w:r>
      <w:r>
        <w:rPr>
          <w:rFonts w:ascii="calibri" w:hAnsi="calibri" w:eastAsia="calibri" w:cs="calibri"/>
          <w:sz w:val="24"/>
          <w:szCs w:val="24"/>
        </w:rPr>
        <w:t xml:space="preserve"> w </w:t>
      </w:r>
      <w:r>
        <w:rPr>
          <w:rFonts w:ascii="calibri" w:hAnsi="calibri" w:eastAsia="calibri" w:cs="calibri"/>
          <w:sz w:val="24"/>
          <w:szCs w:val="24"/>
          <w:b/>
        </w:rPr>
        <w:t xml:space="preserve">42 proc.</w:t>
      </w:r>
      <w:r>
        <w:rPr>
          <w:rFonts w:ascii="calibri" w:hAnsi="calibri" w:eastAsia="calibri" w:cs="calibri"/>
          <w:sz w:val="24"/>
          <w:szCs w:val="24"/>
        </w:rPr>
        <w:t xml:space="preserve"> ofert, a </w:t>
      </w:r>
      <w:r>
        <w:rPr>
          <w:rFonts w:ascii="calibri" w:hAnsi="calibri" w:eastAsia="calibri" w:cs="calibri"/>
          <w:sz w:val="24"/>
          <w:szCs w:val="24"/>
          <w:b/>
        </w:rPr>
        <w:t xml:space="preserve">hybrydowej </w:t>
      </w:r>
      <w:r>
        <w:rPr>
          <w:rFonts w:ascii="calibri" w:hAnsi="calibri" w:eastAsia="calibri" w:cs="calibri"/>
          <w:sz w:val="24"/>
          <w:szCs w:val="24"/>
        </w:rPr>
        <w:t xml:space="preserve">– w </w:t>
      </w:r>
      <w:r>
        <w:rPr>
          <w:rFonts w:ascii="calibri" w:hAnsi="calibri" w:eastAsia="calibri" w:cs="calibri"/>
          <w:sz w:val="24"/>
          <w:szCs w:val="24"/>
          <w:b/>
        </w:rPr>
        <w:t xml:space="preserve">26 proc.</w:t>
      </w:r>
      <w:r>
        <w:rPr>
          <w:rFonts w:ascii="calibri" w:hAnsi="calibri" w:eastAsia="calibri" w:cs="calibri"/>
          <w:sz w:val="24"/>
          <w:szCs w:val="24"/>
        </w:rPr>
        <w:t xml:space="preserve"> Rok wcześniej oferty pracy zdalnej stanowiły 35 proc. wszystkich ogłoszeń (3 p.p. więcej niż obecnie), stacjonarnej – 44 proc. (2 p.p. więcej), a tryb hybrydowy występował rzadziej – w 21 proc. ofert (5 p.p. mniej).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Wiemy bardzo dobrze od lat, jak dużym zainteresowaniem i dobrą opinią u kandydujących cieszy się praca zdalna. Badanie pokazuje, że pracownicy czują silną potrzebę, by to w ich gestii była decyzja o możliwości pracy z domu. Od kilkunastu miesięcy śledzimy jednak na nofluffjobs.com, że odsetek nowych ofert z opcją pracy zdalnej spada </w:t>
      </w:r>
      <w:r>
        <w:rPr>
          <w:rFonts w:ascii="calibri" w:hAnsi="calibri" w:eastAsia="calibri" w:cs="calibri"/>
          <w:sz w:val="24"/>
          <w:szCs w:val="24"/>
        </w:rPr>
        <w:t xml:space="preserve">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Paulina Król, Chief People and Operations Officer w No Fluff Jobs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Jednym z powodów może być to, że część firm, która oferowała ten tryb w czasie pandemii lub zaraz po nim, nie przekonała się finalnie do tego rozwiązania. Pracodawcy widzą, że przestrzeń biurowa sprzyja nie tylko lepszej współpracy i sprawniejszej komunikacji, ale też wzmocnieniu kultury firmy. Są to elementy, których pracownicy mogą nie doceniać, ale długofalowo mogą mieć znaczenie dla organizacji</w:t>
      </w:r>
      <w:r>
        <w:rPr>
          <w:rFonts w:ascii="calibri" w:hAnsi="calibri" w:eastAsia="calibri" w:cs="calibri"/>
          <w:sz w:val="24"/>
          <w:szCs w:val="24"/>
        </w:rPr>
        <w:t xml:space="preserve"> 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4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Spada odsetek ofert pracy zdalnej, ale również stacjonarnej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Utrzymuje się trend spadku popularności pracy zdalnej, niezależnie od poziomu stanowiska. Najczęściej możliwość wykonywania obowiązków zawodowych spoza biura pojawia się w ogłoszeniach o pracy </w:t>
      </w:r>
      <w:r>
        <w:rPr>
          <w:rFonts w:ascii="calibri" w:hAnsi="calibri" w:eastAsia="calibri" w:cs="calibri"/>
          <w:sz w:val="24"/>
          <w:szCs w:val="24"/>
          <w:b/>
        </w:rPr>
        <w:t xml:space="preserve">na stanowiskach o najwyższym poziomie doświadczenia</w:t>
      </w:r>
      <w:r>
        <w:rPr>
          <w:rFonts w:ascii="calibri" w:hAnsi="calibri" w:eastAsia="calibri" w:cs="calibri"/>
          <w:sz w:val="24"/>
          <w:szCs w:val="24"/>
        </w:rPr>
        <w:t xml:space="preserve">, tzw. seniorskich. W ciągu pierwszych trzech miesięcy tego roku można ją było znaleźć w </w:t>
      </w:r>
      <w:r>
        <w:rPr>
          <w:rFonts w:ascii="calibri" w:hAnsi="calibri" w:eastAsia="calibri" w:cs="calibri"/>
          <w:sz w:val="24"/>
          <w:szCs w:val="24"/>
          <w:b/>
        </w:rPr>
        <w:t xml:space="preserve">45,5 proc.</w:t>
      </w:r>
      <w:r>
        <w:rPr>
          <w:rFonts w:ascii="calibri" w:hAnsi="calibri" w:eastAsia="calibri" w:cs="calibri"/>
          <w:sz w:val="24"/>
          <w:szCs w:val="24"/>
        </w:rPr>
        <w:t xml:space="preserve"> ofert, a w analogicznym okresie ubiegłego roku – w 50 proc. W przypadku pracy dla osób </w:t>
      </w:r>
      <w:r>
        <w:rPr>
          <w:rFonts w:ascii="calibri" w:hAnsi="calibri" w:eastAsia="calibri" w:cs="calibri"/>
          <w:sz w:val="24"/>
          <w:szCs w:val="24"/>
          <w:b/>
        </w:rPr>
        <w:t xml:space="preserve">o średnim poziomie doświadczenia</w:t>
      </w:r>
      <w:r>
        <w:rPr>
          <w:rFonts w:ascii="calibri" w:hAnsi="calibri" w:eastAsia="calibri" w:cs="calibri"/>
          <w:sz w:val="24"/>
          <w:szCs w:val="24"/>
        </w:rPr>
        <w:t xml:space="preserve"> (tzw. midów) w tym roku było to </w:t>
      </w:r>
      <w:r>
        <w:rPr>
          <w:rFonts w:ascii="calibri" w:hAnsi="calibri" w:eastAsia="calibri" w:cs="calibri"/>
          <w:sz w:val="24"/>
          <w:szCs w:val="24"/>
          <w:b/>
        </w:rPr>
        <w:t xml:space="preserve">26,5 proc.</w:t>
      </w:r>
      <w:r>
        <w:rPr>
          <w:rFonts w:ascii="calibri" w:hAnsi="calibri" w:eastAsia="calibri" w:cs="calibri"/>
          <w:sz w:val="24"/>
          <w:szCs w:val="24"/>
        </w:rPr>
        <w:t xml:space="preserve">, a rok wcześniej – 29 proc. W ogłoszeniach o pracy</w:t>
      </w:r>
      <w:r>
        <w:rPr>
          <w:rFonts w:ascii="calibri" w:hAnsi="calibri" w:eastAsia="calibri" w:cs="calibri"/>
          <w:sz w:val="24"/>
          <w:szCs w:val="24"/>
          <w:b/>
        </w:rPr>
        <w:t xml:space="preserve"> na stanowiskach juniorskich</w:t>
      </w:r>
      <w:r>
        <w:rPr>
          <w:rFonts w:ascii="calibri" w:hAnsi="calibri" w:eastAsia="calibri" w:cs="calibri"/>
          <w:sz w:val="24"/>
          <w:szCs w:val="24"/>
        </w:rPr>
        <w:t xml:space="preserve">, kierowanych do początkujących, odsetki te wynoszą odpowiednio </w:t>
      </w:r>
      <w:r>
        <w:rPr>
          <w:rFonts w:ascii="calibri" w:hAnsi="calibri" w:eastAsia="calibri" w:cs="calibri"/>
          <w:sz w:val="24"/>
          <w:szCs w:val="24"/>
          <w:b/>
        </w:rPr>
        <w:t xml:space="preserve">22,5 proc. w tym roku</w:t>
      </w:r>
      <w:r>
        <w:rPr>
          <w:rFonts w:ascii="calibri" w:hAnsi="calibri" w:eastAsia="calibri" w:cs="calibri"/>
          <w:sz w:val="24"/>
          <w:szCs w:val="24"/>
        </w:rPr>
        <w:t xml:space="preserve"> oraz 25,5 proc. w ubiegłym.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Jednocześnie jednak </w:t>
      </w:r>
      <w:r>
        <w:rPr>
          <w:rFonts w:ascii="calibri" w:hAnsi="calibri" w:eastAsia="calibri" w:cs="calibri"/>
          <w:sz w:val="24"/>
          <w:szCs w:val="24"/>
          <w:b/>
        </w:rPr>
        <w:t xml:space="preserve">spada też odsetek ogłoszeń o pracy stacjonarnej</w:t>
      </w:r>
      <w:r>
        <w:rPr>
          <w:rFonts w:ascii="calibri" w:hAnsi="calibri" w:eastAsia="calibri" w:cs="calibri"/>
          <w:sz w:val="24"/>
          <w:szCs w:val="24"/>
        </w:rPr>
        <w:t xml:space="preserve">. W pierwszych trzech miesiącach tego roku stanowiły </w:t>
      </w:r>
      <w:r>
        <w:rPr>
          <w:rFonts w:ascii="calibri" w:hAnsi="calibri" w:eastAsia="calibri" w:cs="calibri"/>
          <w:sz w:val="24"/>
          <w:szCs w:val="24"/>
          <w:b/>
        </w:rPr>
        <w:t xml:space="preserve">27 proc. ofert dla seniorów</w:t>
      </w:r>
      <w:r>
        <w:rPr>
          <w:rFonts w:ascii="calibri" w:hAnsi="calibri" w:eastAsia="calibri" w:cs="calibri"/>
          <w:sz w:val="24"/>
          <w:szCs w:val="24"/>
        </w:rPr>
        <w:t xml:space="preserve"> (rok wcześniej 30 proc.), </w:t>
      </w:r>
      <w:r>
        <w:rPr>
          <w:rFonts w:ascii="calibri" w:hAnsi="calibri" w:eastAsia="calibri" w:cs="calibri"/>
          <w:sz w:val="24"/>
          <w:szCs w:val="24"/>
          <w:b/>
        </w:rPr>
        <w:t xml:space="preserve">51,5 proc. ofert dla midów </w:t>
      </w:r>
      <w:r>
        <w:rPr>
          <w:rFonts w:ascii="calibri" w:hAnsi="calibri" w:eastAsia="calibri" w:cs="calibri"/>
          <w:sz w:val="24"/>
          <w:szCs w:val="24"/>
        </w:rPr>
        <w:t xml:space="preserve">(rok wcześniej 55,5 proc.) i </w:t>
      </w:r>
      <w:r>
        <w:rPr>
          <w:rFonts w:ascii="calibri" w:hAnsi="calibri" w:eastAsia="calibri" w:cs="calibri"/>
          <w:sz w:val="24"/>
          <w:szCs w:val="24"/>
          <w:b/>
        </w:rPr>
        <w:t xml:space="preserve">52 proc. ofert dla juniorów</w:t>
      </w:r>
      <w:r>
        <w:rPr>
          <w:rFonts w:ascii="calibri" w:hAnsi="calibri" w:eastAsia="calibri" w:cs="calibri"/>
          <w:sz w:val="24"/>
          <w:szCs w:val="24"/>
        </w:rPr>
        <w:t xml:space="preserve"> (rok wcześniej 59,5 proc.). Co ciekawe, odnotowano </w:t>
      </w:r>
      <w:r>
        <w:rPr>
          <w:rFonts w:ascii="calibri" w:hAnsi="calibri" w:eastAsia="calibri" w:cs="calibri"/>
          <w:sz w:val="24"/>
          <w:szCs w:val="24"/>
          <w:b/>
        </w:rPr>
        <w:t xml:space="preserve">znaczący wzrost odsetka ofert pracy hybrydowej kierowanych do najmniej doświadczonych kandydatów i kandydatek</w:t>
      </w:r>
      <w:r>
        <w:rPr>
          <w:rFonts w:ascii="calibri" w:hAnsi="calibri" w:eastAsia="calibri" w:cs="calibri"/>
          <w:sz w:val="24"/>
          <w:szCs w:val="24"/>
        </w:rPr>
        <w:t xml:space="preserve">. W pierwszym kwartale 2025 r. wyniósł on aż 25 proc., podczas gdy rok wcześniej było to tylko 15 proc. Wśród ogłoszeń kierowanych do midów hybrydowy tryb pracy pojawił się w 22 proc. w tym roku i 15,5 proc. rok wcześniej, a w przypadku ogłoszeń kierowanych do seniorów – w 27 proc. w tym roku i 20,5 proc. rok wcześniej.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Praca zdalna lub hybrydowa najczęściej dostępna w branży IT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 Fluff Jobs przeanalizował także dostępność różnych trybów pracy w poszczególnych kategoriach branżowych. Największy odsetek ofert </w:t>
      </w:r>
      <w:r>
        <w:rPr>
          <w:rFonts w:ascii="calibri" w:hAnsi="calibri" w:eastAsia="calibri" w:cs="calibri"/>
          <w:sz w:val="24"/>
          <w:szCs w:val="24"/>
          <w:b/>
        </w:rPr>
        <w:t xml:space="preserve">pracy zdalnej</w:t>
      </w:r>
      <w:r>
        <w:rPr>
          <w:rFonts w:ascii="calibri" w:hAnsi="calibri" w:eastAsia="calibri" w:cs="calibri"/>
          <w:sz w:val="24"/>
          <w:szCs w:val="24"/>
        </w:rPr>
        <w:t xml:space="preserve"> – 71,5 proc. – można znaleźć w kategoriach IT </w:t>
      </w:r>
      <w:r>
        <w:rPr>
          <w:rFonts w:ascii="calibri" w:hAnsi="calibri" w:eastAsia="calibri" w:cs="calibri"/>
          <w:sz w:val="24"/>
          <w:szCs w:val="24"/>
          <w:b/>
        </w:rPr>
        <w:t xml:space="preserve">Business Intelligence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b/>
        </w:rPr>
        <w:t xml:space="preserve">GameDev</w:t>
      </w:r>
      <w:r>
        <w:rPr>
          <w:rFonts w:ascii="calibri" w:hAnsi="calibri" w:eastAsia="calibri" w:cs="calibri"/>
          <w:sz w:val="24"/>
          <w:szCs w:val="24"/>
        </w:rPr>
        <w:t xml:space="preserve">. Trzecie miejsce zajmuje kategoria </w:t>
      </w:r>
      <w:r>
        <w:rPr>
          <w:rFonts w:ascii="calibri" w:hAnsi="calibri" w:eastAsia="calibri" w:cs="calibri"/>
          <w:sz w:val="24"/>
          <w:szCs w:val="24"/>
          <w:b/>
        </w:rPr>
        <w:t xml:space="preserve">AI</w:t>
      </w:r>
      <w:r>
        <w:rPr>
          <w:rFonts w:ascii="calibri" w:hAnsi="calibri" w:eastAsia="calibri" w:cs="calibri"/>
          <w:sz w:val="24"/>
          <w:szCs w:val="24"/>
        </w:rPr>
        <w:t xml:space="preserve"> – 62 proc. Tryb hybrydowy jest najrzadziej oferowany we wszystkich analizowanych branżach. Tak jak w przypadku pracy zdalnej, najczęściej można ją znaleźć w kategoriach IT – </w:t>
      </w:r>
      <w:r>
        <w:rPr>
          <w:rFonts w:ascii="calibri" w:hAnsi="calibri" w:eastAsia="calibri" w:cs="calibri"/>
          <w:sz w:val="24"/>
          <w:szCs w:val="24"/>
          <w:b/>
        </w:rPr>
        <w:t xml:space="preserve">Agile / Scrum Master</w:t>
      </w:r>
      <w:r>
        <w:rPr>
          <w:rFonts w:ascii="calibri" w:hAnsi="calibri" w:eastAsia="calibri" w:cs="calibri"/>
          <w:sz w:val="24"/>
          <w:szCs w:val="24"/>
        </w:rPr>
        <w:t xml:space="preserve"> (47 proc.), </w:t>
      </w:r>
      <w:r>
        <w:rPr>
          <w:rFonts w:ascii="calibri" w:hAnsi="calibri" w:eastAsia="calibri" w:cs="calibri"/>
          <w:sz w:val="24"/>
          <w:szCs w:val="24"/>
          <w:b/>
        </w:rPr>
        <w:t xml:space="preserve">Analityka biznesowa</w:t>
      </w:r>
      <w:r>
        <w:rPr>
          <w:rFonts w:ascii="calibri" w:hAnsi="calibri" w:eastAsia="calibri" w:cs="calibri"/>
          <w:sz w:val="24"/>
          <w:szCs w:val="24"/>
        </w:rPr>
        <w:t xml:space="preserve"> (41 proc.) oraz </w:t>
      </w:r>
      <w:r>
        <w:rPr>
          <w:rFonts w:ascii="calibri" w:hAnsi="calibri" w:eastAsia="calibri" w:cs="calibri"/>
          <w:sz w:val="24"/>
          <w:szCs w:val="24"/>
          <w:b/>
        </w:rPr>
        <w:t xml:space="preserve">Zarządzanie projektami </w:t>
      </w:r>
      <w:r>
        <w:rPr>
          <w:rFonts w:ascii="calibri" w:hAnsi="calibri" w:eastAsia="calibri" w:cs="calibri"/>
          <w:sz w:val="24"/>
          <w:szCs w:val="24"/>
        </w:rPr>
        <w:t xml:space="preserve">(37,5 proc.). </w:t>
      </w:r>
      <w:r>
        <w:rPr>
          <w:rFonts w:ascii="calibri" w:hAnsi="calibri" w:eastAsia="calibri" w:cs="calibri"/>
          <w:sz w:val="24"/>
          <w:szCs w:val="24"/>
          <w:b/>
        </w:rPr>
        <w:t xml:space="preserve">Praca stacjonarna </w:t>
      </w:r>
      <w:r>
        <w:rPr>
          <w:rFonts w:ascii="calibri" w:hAnsi="calibri" w:eastAsia="calibri" w:cs="calibri"/>
          <w:sz w:val="24"/>
          <w:szCs w:val="24"/>
        </w:rPr>
        <w:t xml:space="preserve">najczęściej jest wymieniana w kategoriach: </w:t>
      </w:r>
      <w:r>
        <w:rPr>
          <w:rFonts w:ascii="calibri" w:hAnsi="calibri" w:eastAsia="calibri" w:cs="calibri"/>
          <w:sz w:val="24"/>
          <w:szCs w:val="24"/>
          <w:b/>
        </w:rPr>
        <w:t xml:space="preserve">Mechanika</w:t>
      </w:r>
      <w:r>
        <w:rPr>
          <w:rFonts w:ascii="calibri" w:hAnsi="calibri" w:eastAsia="calibri" w:cs="calibri"/>
          <w:sz w:val="24"/>
          <w:szCs w:val="24"/>
        </w:rPr>
        <w:t xml:space="preserve"> – 95,5 proc. (rok wcześniej – 94,5 proc.), </w:t>
      </w:r>
      <w:r>
        <w:rPr>
          <w:rFonts w:ascii="calibri" w:hAnsi="calibri" w:eastAsia="calibri" w:cs="calibri"/>
          <w:sz w:val="24"/>
          <w:szCs w:val="24"/>
          <w:b/>
        </w:rPr>
        <w:t xml:space="preserve">Administracja biurowa</w:t>
      </w:r>
      <w:r>
        <w:rPr>
          <w:rFonts w:ascii="calibri" w:hAnsi="calibri" w:eastAsia="calibri" w:cs="calibri"/>
          <w:sz w:val="24"/>
          <w:szCs w:val="24"/>
        </w:rPr>
        <w:t xml:space="preserve"> – 84 proc. (rok wcześniej – 82 proc.) i </w:t>
      </w:r>
      <w:r>
        <w:rPr>
          <w:rFonts w:ascii="calibri" w:hAnsi="calibri" w:eastAsia="calibri" w:cs="calibri"/>
          <w:sz w:val="24"/>
          <w:szCs w:val="24"/>
          <w:b/>
        </w:rPr>
        <w:t xml:space="preserve">Automatyka</w:t>
      </w:r>
      <w:r>
        <w:rPr>
          <w:rFonts w:ascii="calibri" w:hAnsi="calibri" w:eastAsia="calibri" w:cs="calibri"/>
          <w:sz w:val="24"/>
          <w:szCs w:val="24"/>
        </w:rPr>
        <w:t xml:space="preserve"> – 83 proc. (chociaż tutaj widać spadek, rok wcześniej było to 88,5 proc.).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Metodyka badania: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Raport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„Sprawiedliwość w pracy”</w:t>
        </w:r>
      </w:hyperlink>
      <w:r>
        <w:rPr>
          <w:rFonts w:ascii="calibri" w:hAnsi="calibri" w:eastAsia="calibri" w:cs="calibri"/>
          <w:sz w:val="24"/>
          <w:szCs w:val="24"/>
        </w:rPr>
        <w:t xml:space="preserve"> powstał na podstawie badania przeprowadzonego w dniach 24-27 lutego 2025 na grupie aktywnych zawodowo Polek i Polaków. Grupa była reprezentatywna ze względu na płeć, wiek, miejsce zamieszkania i wykształcenie według struktury Głównego Urzędu Statystycznego. Całość badania przeprowadzono na platformie Omnisurv by IQS.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ofluffjobs.com/insights/sprawiedliwosc-w-pracy/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2026-08-13T10:30:16+02:00</dcterms:created>
  <dcterms:modified xsi:type="dcterms:W3CDTF">2026-08-13T10:30:16+02:00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