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70 proc. Polaków chciałoby móc pracować zdalnie, jednak popularność tego trybu pracy spada. Rośnie natomiast popularność pracy hybrydowej – o 5 p. p. rok do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dwie trzecie aktywnych zawodowo Polek i Polaków uważa, że jeśli stanowisko umożliwia pracę zdalną, to decyzja o wyborze takiego trybu powinna należeć do pracownika. Takiego zdania są szczególnie badani od 18 do 24 roku życia (77 proc.) oraz osoby przed emeryturą (73 proc. w wieku 55–64 lata). Tymczasem odsetek ofert pracy zdalnej spada. Rośnie jednak znaczenie modelu hybrydowego, szczególnie wśród ofert pracy dla początkujących kandydatów i kandydatek – ich odsetek rok do roku wzrósł z 15 proc. do ponad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</w:t>
      </w:r>
      <w:r>
        <w:rPr>
          <w:rFonts w:ascii="calibri" w:hAnsi="calibri" w:eastAsia="calibri" w:cs="calibri"/>
          <w:sz w:val="24"/>
          <w:szCs w:val="24"/>
          <w:b/>
        </w:rPr>
        <w:t xml:space="preserve"> 69 proc. aktywnych zawodowo Polek i Polaków chciałoby mieć możliwość samodzielnego wyboru pracy zdalnej</w:t>
      </w:r>
      <w:r>
        <w:rPr>
          <w:rFonts w:ascii="calibri" w:hAnsi="calibri" w:eastAsia="calibri" w:cs="calibri"/>
          <w:sz w:val="24"/>
          <w:szCs w:val="24"/>
        </w:rPr>
        <w:t xml:space="preserve"> na stanowiskach, na których jej wprowadzenie jest obiektywnie możliwe – tak wynika z badania przeprowadzonego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„Sprawiedliwość w pracy”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ogłoszeniowego z widełkami wynagrodzeń. Przeciwko takiemu rozwiązaniu jest 12 proc. ankietowanych, a 19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dostępnością wyboru trybu pracy zdalnej przez pracownika opowiada się </w:t>
      </w:r>
      <w:r>
        <w:rPr>
          <w:rFonts w:ascii="calibri" w:hAnsi="calibri" w:eastAsia="calibri" w:cs="calibri"/>
          <w:sz w:val="24"/>
          <w:szCs w:val="24"/>
          <w:b/>
        </w:rPr>
        <w:t xml:space="preserve">74 proc. badanych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mężczyzn</w:t>
      </w:r>
      <w:r>
        <w:rPr>
          <w:rFonts w:ascii="calibri" w:hAnsi="calibri" w:eastAsia="calibri" w:cs="calibri"/>
          <w:sz w:val="24"/>
          <w:szCs w:val="24"/>
        </w:rPr>
        <w:t xml:space="preserve">. Patrząc pod kątem wieku, najwięcej zwolenników tego rozwiązania jest wśród najmłodszych i najstarszych badanych – 77 proc. osób od 18 do 24 roku życia i 73 proc. od 55 do 64 roku życia. Wśród ankietowanych od 25 do 34 i od 35 do 44 roku życia jest to po 69 proc., a w grupie osób od 45 do 54 roku życia – tylko 63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ofert pracy na No Fluff Jobs wynika, że 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całkowicie zdalnej </w:t>
      </w:r>
      <w:r>
        <w:rPr>
          <w:rFonts w:ascii="calibri" w:hAnsi="calibri" w:eastAsia="calibri" w:cs="calibri"/>
          <w:sz w:val="24"/>
          <w:szCs w:val="24"/>
        </w:rPr>
        <w:t xml:space="preserve">pojawiła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ogłoszeń,</w:t>
      </w:r>
      <w:r>
        <w:rPr>
          <w:rFonts w:ascii="calibri" w:hAnsi="calibri" w:eastAsia="calibri" w:cs="calibri"/>
          <w:sz w:val="24"/>
          <w:szCs w:val="24"/>
          <w:b/>
        </w:rPr>
        <w:t xml:space="preserve"> stacjonarnej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42 proc.</w:t>
      </w:r>
      <w:r>
        <w:rPr>
          <w:rFonts w:ascii="calibri" w:hAnsi="calibri" w:eastAsia="calibri" w:cs="calibri"/>
          <w:sz w:val="24"/>
          <w:szCs w:val="24"/>
        </w:rPr>
        <w:t xml:space="preserve"> ofert, a </w:t>
      </w:r>
      <w:r>
        <w:rPr>
          <w:rFonts w:ascii="calibri" w:hAnsi="calibri" w:eastAsia="calibri" w:cs="calibri"/>
          <w:sz w:val="24"/>
          <w:szCs w:val="24"/>
          <w:b/>
        </w:rPr>
        <w:t xml:space="preserve">hybrydowej </w:t>
      </w:r>
      <w:r>
        <w:rPr>
          <w:rFonts w:ascii="calibri" w:hAnsi="calibri" w:eastAsia="calibri" w:cs="calibri"/>
          <w:sz w:val="24"/>
          <w:szCs w:val="24"/>
        </w:rPr>
        <w:t xml:space="preserve">– w </w:t>
      </w:r>
      <w:r>
        <w:rPr>
          <w:rFonts w:ascii="calibri" w:hAnsi="calibri" w:eastAsia="calibri" w:cs="calibri"/>
          <w:sz w:val="24"/>
          <w:szCs w:val="24"/>
          <w:b/>
        </w:rPr>
        <w:t xml:space="preserve">26 proc.</w:t>
      </w:r>
      <w:r>
        <w:rPr>
          <w:rFonts w:ascii="calibri" w:hAnsi="calibri" w:eastAsia="calibri" w:cs="calibri"/>
          <w:sz w:val="24"/>
          <w:szCs w:val="24"/>
        </w:rPr>
        <w:t xml:space="preserve"> Rok wcześniej oferty pracy zdalnej stanowiły 35 proc. wszystkich ogłoszeń (3 p.p. więcej niż obecnie), stacjonarnej – 44 proc. (2 p.p. więcej), a tryb hybrydowy występował rzadziej – w 21 proc. ofert (5 p.p. mniej).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Wiemy bardzo dobrze od lat, jak dużym zainteresowaniem i dobrą opinią u kandydujących cieszy się praca zdalna. Badanie pokazuje, że pracownicy czują silną potrzebę, by to w ich gestii była decyzja o możliwości pracy z domu. Od kilkunastu miesięcy śledzimy jednak na nofluffjobs.com, że odsetek nowych ofert z opcją pracy zdalnej spada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powodów może być to, że część firm, która oferowała ten tryb w czasie pandemii lub zaraz po nim, nie przekonała się finalnie do tego rozwiązania. Pracodawcy widzą, że przestrzeń biurowa sprzyja nie tylko lepszej współpracy i sprawniejszej komunikacji, ale też wzmocnieniu kultury firmy. Są to elementy, których pracownicy mogą nie doceniać, ale długofalowo mogą mieć znaczenie dla organizacji</w:t>
      </w:r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odsetek ofert pracy zdalnej, ale również stacjonarnej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Utrzymuje się trend spadku popularności pracy zdalnej, niezależnie od poziomu stanowiska. Najczęściej możliwość wykonywania obowiązków zawodowych spoza biura pojawia się w ogłoszeniach o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o najwyższym poziomie doświadczenia</w:t>
      </w:r>
      <w:r>
        <w:rPr>
          <w:rFonts w:ascii="calibri" w:hAnsi="calibri" w:eastAsia="calibri" w:cs="calibri"/>
          <w:sz w:val="24"/>
          <w:szCs w:val="24"/>
        </w:rPr>
        <w:t xml:space="preserve">, tzw. seniorskich. W ciągu pierwszych trzech miesięcy tego roku można ją było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45,5 proc.</w:t>
      </w:r>
      <w:r>
        <w:rPr>
          <w:rFonts w:ascii="calibri" w:hAnsi="calibri" w:eastAsia="calibri" w:cs="calibri"/>
          <w:sz w:val="24"/>
          <w:szCs w:val="24"/>
        </w:rPr>
        <w:t xml:space="preserve"> ofert, a w analogicznym okresie ubiegłego roku – w 50 proc. W przypadku pracy dla osób </w:t>
      </w:r>
      <w:r>
        <w:rPr>
          <w:rFonts w:ascii="calibri" w:hAnsi="calibri" w:eastAsia="calibri" w:cs="calibri"/>
          <w:sz w:val="24"/>
          <w:szCs w:val="24"/>
          <w:b/>
        </w:rPr>
        <w:t xml:space="preserve">o średnim poziomie doświadczenia</w:t>
      </w:r>
      <w:r>
        <w:rPr>
          <w:rFonts w:ascii="calibri" w:hAnsi="calibri" w:eastAsia="calibri" w:cs="calibri"/>
          <w:sz w:val="24"/>
          <w:szCs w:val="24"/>
        </w:rPr>
        <w:t xml:space="preserve"> (tzw. midów) w tym roku było to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, a rok wcześniej – 29 proc. W ogłoszeniach o pracy</w:t>
      </w:r>
      <w:r>
        <w:rPr>
          <w:rFonts w:ascii="calibri" w:hAnsi="calibri" w:eastAsia="calibri" w:cs="calibri"/>
          <w:sz w:val="24"/>
          <w:szCs w:val="24"/>
          <w:b/>
        </w:rPr>
        <w:t xml:space="preserve">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kierowanych do początkujących, odsetki te wynoszą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w tym roku</w:t>
      </w:r>
      <w:r>
        <w:rPr>
          <w:rFonts w:ascii="calibri" w:hAnsi="calibri" w:eastAsia="calibri" w:cs="calibri"/>
          <w:sz w:val="24"/>
          <w:szCs w:val="24"/>
        </w:rPr>
        <w:t xml:space="preserve"> oraz 25,5 proc. w ubiegłym.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spada też odsetek ogłoszeń o pracy stacjonarnej</w:t>
      </w:r>
      <w:r>
        <w:rPr>
          <w:rFonts w:ascii="calibri" w:hAnsi="calibri" w:eastAsia="calibri" w:cs="calibri"/>
          <w:sz w:val="24"/>
          <w:szCs w:val="24"/>
        </w:rPr>
        <w:t xml:space="preserve">. W pierwszych trzech miesiącach tego roku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ofert dla seniorów</w:t>
      </w:r>
      <w:r>
        <w:rPr>
          <w:rFonts w:ascii="calibri" w:hAnsi="calibri" w:eastAsia="calibri" w:cs="calibri"/>
          <w:sz w:val="24"/>
          <w:szCs w:val="24"/>
        </w:rPr>
        <w:t xml:space="preserve"> (rok wcześniej 30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51,5 proc. ofert dla midów </w:t>
      </w:r>
      <w:r>
        <w:rPr>
          <w:rFonts w:ascii="calibri" w:hAnsi="calibri" w:eastAsia="calibri" w:cs="calibri"/>
          <w:sz w:val="24"/>
          <w:szCs w:val="24"/>
        </w:rPr>
        <w:t xml:space="preserve">(rok wcześniej 55,5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52 proc. ofert dla juniorów</w:t>
      </w:r>
      <w:r>
        <w:rPr>
          <w:rFonts w:ascii="calibri" w:hAnsi="calibri" w:eastAsia="calibri" w:cs="calibri"/>
          <w:sz w:val="24"/>
          <w:szCs w:val="24"/>
        </w:rPr>
        <w:t xml:space="preserve"> (rok wcześniej 59,5 proc.). Co ciekawe,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znaczący wzrost odsetka ofert pracy hybrydowej kierowanych do najmniej doświadczonych kandydatów i kandydatek</w:t>
      </w:r>
      <w:r>
        <w:rPr>
          <w:rFonts w:ascii="calibri" w:hAnsi="calibri" w:eastAsia="calibri" w:cs="calibri"/>
          <w:sz w:val="24"/>
          <w:szCs w:val="24"/>
        </w:rPr>
        <w:t xml:space="preserve">. W pierwszym kwartale 2025 r. wyniósł on aż 25 proc., podczas gdy rok wcześniej było to tylko 15 proc. Wśród ogłoszeń kierowanych do midów hybrydowy tryb pracy pojawił się w 22 proc. w tym roku i 15,5 proc. rok wcześniej, a w przypadku ogłoszeń kierowanych do seniorów – w 27 proc. w tym roku i 20,5 proc.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lub hybrydowa najczęściej dostępna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przeanalizował także dostępność różnych trybów pracy w poszczególnych kategoriach branżowych. Największy odsetek ofert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– 71,5 proc. – można znaleźć w kategoriach IT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. Trzecie miejsce zajmuje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– 62 proc. Tryb hybrydowy jest najrzadziej oferowany we wszystkich analizowanych branżach. Tak jak w przypadku pracy zdalnej, najczęściej można ją znaleźć w kategoriach IT – </w:t>
      </w:r>
      <w:r>
        <w:rPr>
          <w:rFonts w:ascii="calibri" w:hAnsi="calibri" w:eastAsia="calibri" w:cs="calibri"/>
          <w:sz w:val="24"/>
          <w:szCs w:val="24"/>
          <w:b/>
        </w:rPr>
        <w:t xml:space="preserve">Agile / Scrum Master</w:t>
      </w:r>
      <w:r>
        <w:rPr>
          <w:rFonts w:ascii="calibri" w:hAnsi="calibri" w:eastAsia="calibri" w:cs="calibri"/>
          <w:sz w:val="24"/>
          <w:szCs w:val="24"/>
        </w:rPr>
        <w:t xml:space="preserve"> (47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Analityka biznesowa</w:t>
      </w:r>
      <w:r>
        <w:rPr>
          <w:rFonts w:ascii="calibri" w:hAnsi="calibri" w:eastAsia="calibri" w:cs="calibri"/>
          <w:sz w:val="24"/>
          <w:szCs w:val="24"/>
        </w:rPr>
        <w:t xml:space="preserve"> (41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projektami </w:t>
      </w:r>
      <w:r>
        <w:rPr>
          <w:rFonts w:ascii="calibri" w:hAnsi="calibri" w:eastAsia="calibri" w:cs="calibri"/>
          <w:sz w:val="24"/>
          <w:szCs w:val="24"/>
        </w:rPr>
        <w:t xml:space="preserve">(37,5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Praca stacjonarna </w:t>
      </w:r>
      <w:r>
        <w:rPr>
          <w:rFonts w:ascii="calibri" w:hAnsi="calibri" w:eastAsia="calibri" w:cs="calibri"/>
          <w:sz w:val="24"/>
          <w:szCs w:val="24"/>
        </w:rPr>
        <w:t xml:space="preserve">najczęściej jest wymieniana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Mechanika</w:t>
      </w:r>
      <w:r>
        <w:rPr>
          <w:rFonts w:ascii="calibri" w:hAnsi="calibri" w:eastAsia="calibri" w:cs="calibri"/>
          <w:sz w:val="24"/>
          <w:szCs w:val="24"/>
        </w:rPr>
        <w:t xml:space="preserve"> – 95,5 proc. (rok wcześniej – 94,5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biurowa</w:t>
      </w:r>
      <w:r>
        <w:rPr>
          <w:rFonts w:ascii="calibri" w:hAnsi="calibri" w:eastAsia="calibri" w:cs="calibri"/>
          <w:sz w:val="24"/>
          <w:szCs w:val="24"/>
        </w:rPr>
        <w:t xml:space="preserve"> – 84 proc. (rok wcześniej – 82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</w:t>
      </w:r>
      <w:r>
        <w:rPr>
          <w:rFonts w:ascii="calibri" w:hAnsi="calibri" w:eastAsia="calibri" w:cs="calibri"/>
          <w:sz w:val="24"/>
          <w:szCs w:val="24"/>
        </w:rPr>
        <w:t xml:space="preserve"> – 83 proc. (chociaż tutaj widać spadek, rok wcześniej było to 88,5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„Sprawiedliwość w pracy”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badania przeprowadzonego w dniach 24-27 lutego 2025 na grupie aktywnych zawodowo Polek i Polaków. Grupa była reprezentatywna ze względu na płeć, wiek, miejsce zamieszkania i wykształcenie według struktury Głównego Urzędu Statystycznego. Całość badania przeprowadzono na platformie Omnisurv by IQS.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awiedliwosc-w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2026-06-20T13:31:06+02:00</dcterms:created>
  <dcterms:modified xsi:type="dcterms:W3CDTF">2026-06-20T13:31:06+02:00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