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Rosną zarobki u pracujących na umowie B2B, ale nie u etatowców. Consulting notuje duże spadki. Podsumowanie ostatniego półrocza na rynku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sześć miesięcy 2025 r. na rynku pracy upłynęło burzliwie, jeśli chodzi o stawki wynagrodzeń. W większości kategorii na portalu No Fluff Jobs średnie widełki na kontraktach B2B rosły, a na umowie o pracę nie zmieniły się. Jeśli chodzi o poziom doświadczenia, to stawki dla najbardziej doświadczonych specjalistów spadają niezależnie od rodzaju umowy.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półroczu 2025 r. </w:t>
      </w:r>
      <w:r>
        <w:rPr>
          <w:rFonts w:ascii="calibri" w:hAnsi="calibri" w:eastAsia="calibri" w:cs="calibri"/>
          <w:sz w:val="24"/>
          <w:szCs w:val="24"/>
          <w:b/>
        </w:rPr>
        <w:t xml:space="preserve">widełki wynagrodzeń oferowanych na rynku pracy wzrosły</w:t>
      </w:r>
      <w:r>
        <w:rPr>
          <w:rFonts w:ascii="calibri" w:hAnsi="calibri" w:eastAsia="calibri" w:cs="calibri"/>
          <w:sz w:val="24"/>
          <w:szCs w:val="24"/>
        </w:rPr>
        <w:t xml:space="preserve"> w porównaniu z drugim półroczem 2024 r. średnio o 11 proc. w dolnym przedziale i o 6 proc. w górnym – ale </w:t>
      </w:r>
      <w:r>
        <w:rPr>
          <w:rFonts w:ascii="calibri" w:hAnsi="calibri" w:eastAsia="calibri" w:cs="calibri"/>
          <w:sz w:val="24"/>
          <w:szCs w:val="24"/>
          <w:b/>
        </w:rPr>
        <w:t xml:space="preserve">tylko na kontraktach B2B</w:t>
      </w:r>
      <w:r>
        <w:rPr>
          <w:rFonts w:ascii="calibri" w:hAnsi="calibri" w:eastAsia="calibri" w:cs="calibri"/>
          <w:sz w:val="24"/>
          <w:szCs w:val="24"/>
        </w:rPr>
        <w:t xml:space="preserve">. Na umowie o pracę, patrząc ogółem po całości rynku, pozostają bez zmian,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najnowszych danych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ogłoszeniowego z widełkami wynagrodzeń.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Najnowsze dane z ofert pracy opublikowanych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nofluffjobs.com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pokazują, że wciąż jest przestrzeń na podwyżki w firmach (choć mniejsze niż wcześniej) lub bardziej atrakcyjne warunki dla nowo zatrudnionych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Przodują w tym zwłaszcza oferujący pracę w oparciu o umowy B2B i cywilnoprawne – to bardziej elastyczna forma współpracy dla firm, która pomaga ograniczać koszty zatrudnienia i jednocześnie dać pracownikom większą kwotę „na rękę”. Za tym idzie oczywiście też dużo łatwiejszy sposób na rozwiązanie współpracy, gdyby coś poszło nie tak, ale to tylko pokazuje, w jakim punkcie jest obecnie rynek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Duże spadki wynagrodzeń w Consultingu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średni spadek widełek wynagrodzeń widać w przypadku umowy o pracę w kategorii</w:t>
      </w:r>
      <w:r>
        <w:rPr>
          <w:rFonts w:ascii="calibri" w:hAnsi="calibri" w:eastAsia="calibri" w:cs="calibri"/>
          <w:sz w:val="24"/>
          <w:szCs w:val="24"/>
          <w:b/>
        </w:rPr>
        <w:t xml:space="preserve"> Consulting</w:t>
      </w:r>
      <w:r>
        <w:rPr>
          <w:rFonts w:ascii="calibri" w:hAnsi="calibri" w:eastAsia="calibri" w:cs="calibri"/>
          <w:sz w:val="24"/>
          <w:szCs w:val="24"/>
        </w:rPr>
        <w:t xml:space="preserve"> – aż </w:t>
      </w:r>
      <w:r>
        <w:rPr>
          <w:rFonts w:ascii="calibri" w:hAnsi="calibri" w:eastAsia="calibri" w:cs="calibri"/>
          <w:sz w:val="24"/>
          <w:szCs w:val="24"/>
          <w:b/>
        </w:rPr>
        <w:t xml:space="preserve">o 25 proc.</w:t>
      </w:r>
      <w:r>
        <w:rPr>
          <w:rFonts w:ascii="calibri" w:hAnsi="calibri" w:eastAsia="calibri" w:cs="calibri"/>
          <w:sz w:val="24"/>
          <w:szCs w:val="24"/>
        </w:rPr>
        <w:t xml:space="preserve"> w dolnym przedziale (z 12 tys. do 9 tys. zł brutto) i </w:t>
      </w:r>
      <w:r>
        <w:rPr>
          <w:rFonts w:ascii="calibri" w:hAnsi="calibri" w:eastAsia="calibri" w:cs="calibri"/>
          <w:sz w:val="24"/>
          <w:szCs w:val="24"/>
          <w:b/>
        </w:rPr>
        <w:t xml:space="preserve">13 proc. </w:t>
      </w:r>
      <w:r>
        <w:rPr>
          <w:rFonts w:ascii="calibri" w:hAnsi="calibri" w:eastAsia="calibri" w:cs="calibri"/>
          <w:sz w:val="24"/>
          <w:szCs w:val="24"/>
        </w:rPr>
        <w:t xml:space="preserve">w górnym (z 16 tys. do 14 tys. zł brutto). W </w:t>
      </w:r>
      <w:r>
        <w:rPr>
          <w:rFonts w:ascii="calibri" w:hAnsi="calibri" w:eastAsia="calibri" w:cs="calibri"/>
          <w:sz w:val="24"/>
          <w:szCs w:val="24"/>
          <w:b/>
        </w:rPr>
        <w:t xml:space="preserve">finansach</w:t>
      </w:r>
      <w:r>
        <w:rPr>
          <w:rFonts w:ascii="calibri" w:hAnsi="calibri" w:eastAsia="calibri" w:cs="calibri"/>
          <w:sz w:val="24"/>
          <w:szCs w:val="24"/>
        </w:rPr>
        <w:t xml:space="preserve"> wynagrodzenia spadły o </w:t>
      </w:r>
      <w:r>
        <w:rPr>
          <w:rFonts w:ascii="calibri" w:hAnsi="calibri" w:eastAsia="calibri" w:cs="calibri"/>
          <w:sz w:val="24"/>
          <w:szCs w:val="24"/>
          <w:b/>
        </w:rPr>
        <w:t xml:space="preserve">17 proc.</w:t>
      </w:r>
      <w:r>
        <w:rPr>
          <w:rFonts w:ascii="calibri" w:hAnsi="calibri" w:eastAsia="calibri" w:cs="calibri"/>
          <w:sz w:val="24"/>
          <w:szCs w:val="24"/>
        </w:rPr>
        <w:t xml:space="preserve"> zarówno w dolnych (z 9 tys. do 7,5 tys. zł brutto) jak i w górnych widełkach (z 12 tys. do 10 tys. zł brutto), a w kategorii IT </w:t>
      </w:r>
      <w:r>
        <w:rPr>
          <w:rFonts w:ascii="calibri" w:hAnsi="calibri" w:eastAsia="calibri" w:cs="calibri"/>
          <w:sz w:val="24"/>
          <w:szCs w:val="24"/>
          <w:b/>
        </w:rPr>
        <w:t xml:space="preserve">Business Inteligence</w:t>
      </w:r>
      <w:r>
        <w:rPr>
          <w:rFonts w:ascii="calibri" w:hAnsi="calibri" w:eastAsia="calibri" w:cs="calibri"/>
          <w:sz w:val="24"/>
          <w:szCs w:val="24"/>
        </w:rPr>
        <w:t xml:space="preserve"> – o </w:t>
      </w:r>
      <w:r>
        <w:rPr>
          <w:rFonts w:ascii="calibri" w:hAnsi="calibri" w:eastAsia="calibri" w:cs="calibri"/>
          <w:sz w:val="24"/>
          <w:szCs w:val="24"/>
          <w:b/>
        </w:rPr>
        <w:t xml:space="preserve">9 proc.</w:t>
      </w:r>
      <w:r>
        <w:rPr>
          <w:rFonts w:ascii="calibri" w:hAnsi="calibri" w:eastAsia="calibri" w:cs="calibri"/>
          <w:sz w:val="24"/>
          <w:szCs w:val="24"/>
        </w:rPr>
        <w:t xml:space="preserve"> w dolnych widełkach (z 13 tys. do 12 tys. zł brutto) i o aż </w:t>
      </w:r>
      <w:r>
        <w:rPr>
          <w:rFonts w:ascii="calibri" w:hAnsi="calibri" w:eastAsia="calibri" w:cs="calibri"/>
          <w:sz w:val="24"/>
          <w:szCs w:val="24"/>
          <w:b/>
        </w:rPr>
        <w:t xml:space="preserve">17 proc. </w:t>
      </w:r>
      <w:r>
        <w:rPr>
          <w:rFonts w:ascii="calibri" w:hAnsi="calibri" w:eastAsia="calibri" w:cs="calibri"/>
          <w:sz w:val="24"/>
          <w:szCs w:val="24"/>
        </w:rPr>
        <w:t xml:space="preserve">w górnych (z 18 tys. do 15 tys. zł brutto).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kontrakcie </w:t>
      </w:r>
      <w:r>
        <w:rPr>
          <w:rFonts w:ascii="calibri" w:hAnsi="calibri" w:eastAsia="calibri" w:cs="calibri"/>
          <w:sz w:val="24"/>
          <w:szCs w:val="24"/>
          <w:b/>
        </w:rPr>
        <w:t xml:space="preserve">B2B</w:t>
      </w:r>
      <w:r>
        <w:rPr>
          <w:rFonts w:ascii="calibri" w:hAnsi="calibri" w:eastAsia="calibri" w:cs="calibri"/>
          <w:sz w:val="24"/>
          <w:szCs w:val="24"/>
        </w:rPr>
        <w:t xml:space="preserve"> w powyższych kategoriach spadek wynagrodzeń nastąpił tylko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Consulting</w:t>
      </w:r>
      <w:r>
        <w:rPr>
          <w:rFonts w:ascii="calibri" w:hAnsi="calibri" w:eastAsia="calibri" w:cs="calibri"/>
          <w:sz w:val="24"/>
          <w:szCs w:val="24"/>
        </w:rPr>
        <w:t xml:space="preserve">, nie był jednak aż tak duży – o </w:t>
      </w:r>
      <w:r>
        <w:rPr>
          <w:rFonts w:ascii="calibri" w:hAnsi="calibri" w:eastAsia="calibri" w:cs="calibri"/>
          <w:sz w:val="24"/>
          <w:szCs w:val="24"/>
          <w:b/>
        </w:rPr>
        <w:t xml:space="preserve">3 proc.</w:t>
      </w:r>
      <w:r>
        <w:rPr>
          <w:rFonts w:ascii="calibri" w:hAnsi="calibri" w:eastAsia="calibri" w:cs="calibri"/>
          <w:sz w:val="24"/>
          <w:szCs w:val="24"/>
        </w:rPr>
        <w:t xml:space="preserve"> w dolnym przedziale (z 13,8 tys. do 13,4 tys. zł netto + VAT) i o </w:t>
      </w:r>
      <w:r>
        <w:rPr>
          <w:rFonts w:ascii="calibri" w:hAnsi="calibri" w:eastAsia="calibri" w:cs="calibri"/>
          <w:sz w:val="24"/>
          <w:szCs w:val="24"/>
          <w:b/>
        </w:rPr>
        <w:t xml:space="preserve">10 proc.</w:t>
      </w:r>
      <w:r>
        <w:rPr>
          <w:rFonts w:ascii="calibri" w:hAnsi="calibri" w:eastAsia="calibri" w:cs="calibri"/>
          <w:sz w:val="24"/>
          <w:szCs w:val="24"/>
        </w:rPr>
        <w:t xml:space="preserve"> w górnym (z 20 tys. do 18 tys. zł netto + VAT). W finansach odnotowano wzrost o </w:t>
      </w:r>
      <w:r>
        <w:rPr>
          <w:rFonts w:ascii="calibri" w:hAnsi="calibri" w:eastAsia="calibri" w:cs="calibri"/>
          <w:sz w:val="24"/>
          <w:szCs w:val="24"/>
          <w:b/>
        </w:rPr>
        <w:t xml:space="preserve">33 proc. </w:t>
      </w:r>
      <w:r>
        <w:rPr>
          <w:rFonts w:ascii="calibri" w:hAnsi="calibri" w:eastAsia="calibri" w:cs="calibri"/>
          <w:sz w:val="24"/>
          <w:szCs w:val="24"/>
        </w:rPr>
        <w:t xml:space="preserve">w dolnych widełkach (z 8,3 tys. do 11 tys. zł netto + VAT), a w górnych – o </w:t>
      </w:r>
      <w:r>
        <w:rPr>
          <w:rFonts w:ascii="calibri" w:hAnsi="calibri" w:eastAsia="calibri" w:cs="calibri"/>
          <w:sz w:val="24"/>
          <w:szCs w:val="24"/>
          <w:b/>
        </w:rPr>
        <w:t xml:space="preserve">23 proc.</w:t>
      </w:r>
      <w:r>
        <w:rPr>
          <w:rFonts w:ascii="calibri" w:hAnsi="calibri" w:eastAsia="calibri" w:cs="calibri"/>
          <w:sz w:val="24"/>
          <w:szCs w:val="24"/>
        </w:rPr>
        <w:t xml:space="preserve"> (z 12 tys. do 14,7 tys. zł netto + VAT).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Business Inteligence</w:t>
      </w:r>
      <w:r>
        <w:rPr>
          <w:rFonts w:ascii="calibri" w:hAnsi="calibri" w:eastAsia="calibri" w:cs="calibri"/>
          <w:sz w:val="24"/>
          <w:szCs w:val="24"/>
        </w:rPr>
        <w:t xml:space="preserve"> wynagrodzenia w dolnym przedziale wzrosły o </w:t>
      </w:r>
      <w:r>
        <w:rPr>
          <w:rFonts w:ascii="calibri" w:hAnsi="calibri" w:eastAsia="calibri" w:cs="calibri"/>
          <w:sz w:val="24"/>
          <w:szCs w:val="24"/>
          <w:b/>
        </w:rPr>
        <w:t xml:space="preserve">6 proc.</w:t>
      </w:r>
      <w:r>
        <w:rPr>
          <w:rFonts w:ascii="calibri" w:hAnsi="calibri" w:eastAsia="calibri" w:cs="calibri"/>
          <w:sz w:val="24"/>
          <w:szCs w:val="24"/>
        </w:rPr>
        <w:t xml:space="preserve"> (z 19 tys. do 20 tys. zł netto + VAT), a w górnym pozostały bez zmian (25 tys. zł netto + VAT).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</w:t>
      </w:r>
      <w:r>
        <w:rPr>
          <w:rFonts w:ascii="calibri" w:hAnsi="calibri" w:eastAsia="calibri" w:cs="calibri"/>
          <w:sz w:val="24"/>
          <w:szCs w:val="24"/>
          <w:b/>
        </w:rPr>
        <w:t xml:space="preserve"> wzrosty widełek wynagrodzeń na umowie o pracę</w:t>
      </w:r>
      <w:r>
        <w:rPr>
          <w:rFonts w:ascii="calibri" w:hAnsi="calibri" w:eastAsia="calibri" w:cs="calibri"/>
          <w:sz w:val="24"/>
          <w:szCs w:val="24"/>
        </w:rPr>
        <w:t xml:space="preserve"> w ostatnim półroczu odnotowano</w:t>
      </w:r>
      <w:r>
        <w:rPr>
          <w:rFonts w:ascii="calibri" w:hAnsi="calibri" w:eastAsia="calibri" w:cs="calibri"/>
          <w:sz w:val="24"/>
          <w:szCs w:val="24"/>
          <w:b/>
        </w:rPr>
        <w:t xml:space="preserve"> tylko w 10 z 37 analizowanych kategorii</w:t>
      </w:r>
      <w:r>
        <w:rPr>
          <w:rFonts w:ascii="calibri" w:hAnsi="calibri" w:eastAsia="calibri" w:cs="calibri"/>
          <w:sz w:val="24"/>
          <w:szCs w:val="24"/>
        </w:rPr>
        <w:t xml:space="preserve">: Obsługa Klienta, Inżynieria Elektryczna, Prawo, Marketing i Sprzedaż, a z branży IT: AI, Automation, Business Analyst i Game Dev.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Spadają wynagrodzenia dla najbardziej doświadczonych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zmiany w średnich zarobkach widać w przypadku midów (specjalistów o średnim poziomie doświadczenia) – widełki wynagrodzeń na kontrakcie B2B w ciągu ostatnich sześciu miesięcy wzrosły o 15 proc. w dolnym przedziale i o 11 proc. w górnym. W przypadku umowy o pracę na tym poziomie dolne widełki pozostały bez zmian, natomiast górne wzrosły o 10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wynagrodzenia dla juniorów (najmniej doświadczonych pracowników), to zmianę w omawianym okresie odnotowano tylko w górnych widełkach wynagrodzeń – na kontrakcie B2B wzrosły o 9 proc., natomiast na umowie o pracę spadły o 6 proc. Wyłącznie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spadki notują widełki wynagrodzeń dla seniorów</w:t>
      </w:r>
      <w:r>
        <w:rPr>
          <w:rFonts w:ascii="calibri" w:hAnsi="calibri" w:eastAsia="calibri" w:cs="calibri"/>
          <w:sz w:val="24"/>
          <w:szCs w:val="24"/>
        </w:rPr>
        <w:t xml:space="preserve"> (specjalistów z największym doświadczeniem). Na kontrakcie B2B są one raczej symboliczne – niecały 1 proc. w górnym przedziale. Natomiast na umowie o pracę spadek w dolnym przedziale wyniósł 6 proc., a w górnym 5 proc.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ofluffjob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2026-10-13T01:21:21+02:00</dcterms:created>
  <dcterms:modified xsi:type="dcterms:W3CDTF">2026-10-13T01:21:21+02:00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