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zarobki u pracujących na umowie B2B, ale nie u etatowców. Consulting notuje duże spadki. Podsumowanie ostatniego półrocza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sześć miesięcy 2025 r. na rynku pracy upłynęło burzliwie, jeśli chodzi o stawki wynagrodzeń. W większości kategorii na portalu No Fluff Jobs średnie widełki na kontraktach B2B rosły, a na umowie o pracę nie zmieniły się. Jeśli chodzi o poziom doświadczenia, to stawki dla najbardziej doświadczonych specjalistów spadają niezależnie od rodzaju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widełki wynagrodzeń oferowanych na rynku pracy wzrosły</w:t>
      </w:r>
      <w:r>
        <w:rPr>
          <w:rFonts w:ascii="calibri" w:hAnsi="calibri" w:eastAsia="calibri" w:cs="calibri"/>
          <w:sz w:val="24"/>
          <w:szCs w:val="24"/>
        </w:rPr>
        <w:t xml:space="preserve"> w porównaniu z drugim półroczem 2024 r. średnio o 11 proc. w dolnym przedziale i o 6 proc. w górnym – ale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kontraktach B2B</w:t>
      </w:r>
      <w:r>
        <w:rPr>
          <w:rFonts w:ascii="calibri" w:hAnsi="calibri" w:eastAsia="calibri" w:cs="calibri"/>
          <w:sz w:val="24"/>
          <w:szCs w:val="24"/>
        </w:rPr>
        <w:t xml:space="preserve">. Na umowie o pracę, patrząc ogółem po całości rynku, pozostają bez zmian,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z ofert pracy opublikowanych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wciąż jest przestrzeń na podwyżki w firmach (choć mniejsze niż wcześniej) lub bardziej atrakcyjne warunki dla nowo zatrudnionych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Przodują w tym zwłaszcza oferujący pracę w oparciu o umowy B2B i cywilnoprawne – to bardziej elastyczna forma współpracy dla firm, która pomaga ograniczać koszty zatrudnienia i jednocześnie dać pracownikom większą kwotę „na rękę”. Za tym idzie oczywiście też dużo łatwiejszy sposób na rozwiązanie współpracy, gdyby coś poszło nie tak, ale to tylko pokazuje, w jakim punkcie jest obecnie rynek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spadki wynagrodzeń w Consultingu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średni spadek widełek wynagrodzeń widać w przypadku umowy o pracę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r>
        <w:rPr>
          <w:rFonts w:ascii="calibri" w:hAnsi="calibri" w:eastAsia="calibri" w:cs="calibri"/>
          <w:sz w:val="24"/>
          <w:szCs w:val="24"/>
          <w:b/>
        </w:rPr>
        <w:t xml:space="preserve">o 25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12 tys. do 9 tys. zł brutto) i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</w:t>
      </w:r>
      <w:r>
        <w:rPr>
          <w:rFonts w:ascii="calibri" w:hAnsi="calibri" w:eastAsia="calibri" w:cs="calibri"/>
          <w:sz w:val="24"/>
          <w:szCs w:val="24"/>
        </w:rPr>
        <w:t xml:space="preserve">w górnym (z 16 tys. do 14 tys. zł brutto).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wynagrodzenia spadły o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zarówno w dolnych (z 9 tys. do 7,5 tys. zł brutto) jak i w górnych widełkach (z 12 tys. do 10 tys. zł brutto), a w kategorii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w dolnych widełkach (z 13 tys. do 12 tys. zł brutto) i o aż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</w:t>
      </w:r>
      <w:r>
        <w:rPr>
          <w:rFonts w:ascii="calibri" w:hAnsi="calibri" w:eastAsia="calibri" w:cs="calibri"/>
          <w:sz w:val="24"/>
          <w:szCs w:val="24"/>
        </w:rPr>
        <w:t xml:space="preserve">w górnych (z 18 tys. do 15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powyższych kategoriach spadek wynagrodzeń nastąpił tylko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</w:t>
      </w:r>
      <w:r>
        <w:rPr>
          <w:rFonts w:ascii="calibri" w:hAnsi="calibri" w:eastAsia="calibri" w:cs="calibri"/>
          <w:sz w:val="24"/>
          <w:szCs w:val="24"/>
        </w:rPr>
        <w:t xml:space="preserve">, nie był jednak aż tak duży – o </w:t>
      </w:r>
      <w:r>
        <w:rPr>
          <w:rFonts w:ascii="calibri" w:hAnsi="calibri" w:eastAsia="calibri" w:cs="calibri"/>
          <w:sz w:val="24"/>
          <w:szCs w:val="24"/>
          <w:b/>
        </w:rPr>
        <w:t xml:space="preserve">3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13,8 tys. do 13,4 tys. zł netto + VAT) i o 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 w górnym (z 20 tys. do 18 tys. zł netto + VAT). W finansach odnotowano wzrost o </w:t>
      </w:r>
      <w:r>
        <w:rPr>
          <w:rFonts w:ascii="calibri" w:hAnsi="calibri" w:eastAsia="calibri" w:cs="calibri"/>
          <w:sz w:val="24"/>
          <w:szCs w:val="24"/>
          <w:b/>
        </w:rPr>
        <w:t xml:space="preserve">33 proc. </w:t>
      </w:r>
      <w:r>
        <w:rPr>
          <w:rFonts w:ascii="calibri" w:hAnsi="calibri" w:eastAsia="calibri" w:cs="calibri"/>
          <w:sz w:val="24"/>
          <w:szCs w:val="24"/>
        </w:rPr>
        <w:t xml:space="preserve">w dolnych widełkach (z 8,3 tys. do 11 tys. zł netto + VAT), a w górnych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(z 12 tys. do 14,7 tys. zł netto + VAT).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wynagrodzenia w dolnym przedziale wzrosły o </w:t>
      </w:r>
      <w:r>
        <w:rPr>
          <w:rFonts w:ascii="calibri" w:hAnsi="calibri" w:eastAsia="calibri" w:cs="calibri"/>
          <w:sz w:val="24"/>
          <w:szCs w:val="24"/>
          <w:b/>
        </w:rPr>
        <w:t xml:space="preserve">6 proc.</w:t>
      </w:r>
      <w:r>
        <w:rPr>
          <w:rFonts w:ascii="calibri" w:hAnsi="calibri" w:eastAsia="calibri" w:cs="calibri"/>
          <w:sz w:val="24"/>
          <w:szCs w:val="24"/>
        </w:rPr>
        <w:t xml:space="preserve"> (z 19 tys. do 20 tys. zł netto + VAT), a w górnym pozostały bez zmian (25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</w:t>
      </w:r>
      <w:r>
        <w:rPr>
          <w:rFonts w:ascii="calibri" w:hAnsi="calibri" w:eastAsia="calibri" w:cs="calibri"/>
          <w:sz w:val="24"/>
          <w:szCs w:val="24"/>
          <w:b/>
        </w:rPr>
        <w:t xml:space="preserve"> wzrosty widełek wynagrodzeń na umowie o pracę</w:t>
      </w:r>
      <w:r>
        <w:rPr>
          <w:rFonts w:ascii="calibri" w:hAnsi="calibri" w:eastAsia="calibri" w:cs="calibri"/>
          <w:sz w:val="24"/>
          <w:szCs w:val="24"/>
        </w:rPr>
        <w:t xml:space="preserve"> w ostatnim półroczu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tylko w 10 z 37 analizowanych kategorii</w:t>
      </w:r>
      <w:r>
        <w:rPr>
          <w:rFonts w:ascii="calibri" w:hAnsi="calibri" w:eastAsia="calibri" w:cs="calibri"/>
          <w:sz w:val="24"/>
          <w:szCs w:val="24"/>
        </w:rPr>
        <w:t xml:space="preserve">: Obsługa Klienta, Inżynieria Elektryczna, Prawo, Marketing i Sprzedaż, a z branży IT: AI, Automation, Business Analyst i Game Dev.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Spadają wynagrodzenia dla najbardziej doświadczonych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zmiany w średnich zarobkach widać w przypadku midów (specjalistów o średnim poziomie doświadczenia) – widełki wynagrodzeń na kontrakcie B2B w ciągu ostatnich sześciu miesięcy wzrosły o 15 proc. w dolnym przedziale i o 11 proc. w górnym. W przypadku umowy o pracę na tym poziomie dolne widełki pozostały bez zmian, natomiast górne wzrosły o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wynagrodzenia dla juniorów (najmniej doświadczonych pracowników), to zmianę w omawianym okresie odnotowano tylko w górnych widełkach wynagrodzeń – na kontrakcie B2B wzrosły o 9 proc., natomiast na umowie o pracę spadły o 6 proc.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spadki notują widełki wynagrodzeń dla seniorów</w:t>
      </w:r>
      <w:r>
        <w:rPr>
          <w:rFonts w:ascii="calibri" w:hAnsi="calibri" w:eastAsia="calibri" w:cs="calibri"/>
          <w:sz w:val="24"/>
          <w:szCs w:val="24"/>
        </w:rPr>
        <w:t xml:space="preserve"> (specjalistów z największym doświadczeniem). Na kontrakcie B2B są one raczej symboliczne – niecały 1 proc. w górnym przedziale. Natomiast na umowie o pracę spadek w dolnym przedziale wyniósł 6 proc., a w górnym 5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fluff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2026-02-25T17:10:38+01:00</dcterms:created>
  <dcterms:modified xsi:type="dcterms:W3CDTF">2026-02-25T17:10:38+01:00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