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Praca zdalna mało popularna – w finansach taka możliwość pojawia się tylko w 8,9 proc. ogłoszeń o pracy. No Fluff Jobs podsumowuje ostatni kwartał w branżach sprzedaży, marketingu i finansów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ile w marketingu czy w sprzedaży możliwość zatrudnienia na umowie o pracę i na kontrakcie B2B pojawia się w ogłoszeniach rekrutacyjnych z podobną częstotliwością, o tyle w finansach w aż 90 proc. ofert proponuje się zatrudnienie na umowie o pracę. W finansach znajdziemy również najwyższe zarobki spośród wymienionych – 8-10 tys. zł brutto na umowie o pracę i 9-13 tys. zł netto (+ VAT) na kontrakcie B2B. Tak wynika z danych portalu No Fluff Jobs, który od niedawna umożliwia publikację ogłoszeń nie tylko w kategorii IT, ale również w kilkunastu innych.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Wygląda na to, że po okresie gwałtownego wzrostu popularności w latach 2020-2022 </w:t>
      </w:r>
      <w:r>
        <w:rPr>
          <w:rFonts w:ascii="calibri" w:hAnsi="calibri" w:eastAsia="calibri" w:cs="calibri"/>
          <w:sz w:val="24"/>
          <w:szCs w:val="24"/>
          <w:b/>
        </w:rPr>
        <w:t xml:space="preserve">praca zdalna ponownie staje się przywilejem dla wybranych branż</w:t>
      </w:r>
      <w:r>
        <w:rPr>
          <w:rFonts w:ascii="calibri" w:hAnsi="calibri" w:eastAsia="calibri" w:cs="calibri"/>
          <w:sz w:val="24"/>
          <w:szCs w:val="24"/>
        </w:rPr>
        <w:t xml:space="preserve">. Według najnowszych danych polskiego portalu z ogłoszeniami o pracy No Fluff Jobs, w trzecim kwartale 2023 r. możliwość pracy zdalnej w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pojawiła się w </w:t>
      </w:r>
      <w:r>
        <w:rPr>
          <w:rFonts w:ascii="calibri" w:hAnsi="calibri" w:eastAsia="calibri" w:cs="calibri"/>
          <w:sz w:val="24"/>
          <w:szCs w:val="24"/>
          <w:b/>
        </w:rPr>
        <w:t xml:space="preserve">30,7 proc.</w:t>
      </w:r>
      <w:r>
        <w:rPr>
          <w:rFonts w:ascii="calibri" w:hAnsi="calibri" w:eastAsia="calibri" w:cs="calibri"/>
          <w:sz w:val="24"/>
          <w:szCs w:val="24"/>
        </w:rPr>
        <w:t xml:space="preserve"> ofert pracy, w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26,9 proc.</w:t>
      </w:r>
      <w:r>
        <w:rPr>
          <w:rFonts w:ascii="calibri" w:hAnsi="calibri" w:eastAsia="calibri" w:cs="calibri"/>
          <w:sz w:val="24"/>
          <w:szCs w:val="24"/>
        </w:rPr>
        <w:t xml:space="preserve">, a w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jedynie w </w:t>
      </w:r>
      <w:r>
        <w:rPr>
          <w:rFonts w:ascii="calibri" w:hAnsi="calibri" w:eastAsia="calibri" w:cs="calibri"/>
          <w:sz w:val="24"/>
          <w:szCs w:val="24"/>
          <w:b/>
        </w:rPr>
        <w:t xml:space="preserve">8,5 proc.</w:t>
      </w:r>
      <w:r>
        <w:rPr>
          <w:rFonts w:ascii="calibri" w:hAnsi="calibri" w:eastAsia="calibri" w:cs="calibri"/>
          <w:sz w:val="24"/>
          <w:szCs w:val="24"/>
        </w:rPr>
        <w:t xml:space="preserve"> Zupełnie inaczej wygląda sytuacja w branży IT, która już przed pandemią wiodła prym pod względem dostępności pracy zdalnej. W pięciu najlepiej płatnych kategoriach, czyli Architecture, DevOps, Big Data, Security oraz ERP, odsetek oferujących taką możliwość ogłoszeń oscyluje między 55 proc. a 60 poc.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branży IT praca zdalna była standardem na długo przed pandemią – w ten sposób firmy próbowały radzić sobie z luką kadrową i zwiększać swoją szansę na znalezienie idealnego kandydata bądź kandydatki. Potem pandemia poniekąd „narzuciła” pracę zdalną także innym branżom. Obecnie obserwujemy jak sytuacja się stabilizuje i wiele firm spoza IT próbuje wrócić do dawnego modelu. W sektorze technologicznym ogłoszenia o pracy z opcją stałej pracy zdalnej wciąż stanowią ponad połowę wszystkich ofert. W przypadku innych branż sytuacja prezentuje się już inaczej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Fluff Jobs od początku swojej działalności skupiał się na branży IT, ale od niedawna </w:t>
      </w:r>
      <w:r>
        <w:rPr>
          <w:rFonts w:ascii="calibri" w:hAnsi="calibri" w:eastAsia="calibri" w:cs="calibri"/>
          <w:sz w:val="24"/>
          <w:szCs w:val="24"/>
          <w:b/>
        </w:rPr>
        <w:t xml:space="preserve">umożliwia publikację ogłoszeń w kilkunastu nowych kategoriach</w:t>
      </w:r>
      <w:r>
        <w:rPr>
          <w:rFonts w:ascii="calibri" w:hAnsi="calibri" w:eastAsia="calibri" w:cs="calibri"/>
          <w:sz w:val="24"/>
          <w:szCs w:val="24"/>
        </w:rPr>
        <w:t xml:space="preserve">, m.in. marketingu, sprzedaży, finansach, HR, consultingu czy STEM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science, technology, engineering, mathematics</w:t>
      </w:r>
      <w:r>
        <w:rPr>
          <w:rFonts w:ascii="calibri" w:hAnsi="calibri" w:eastAsia="calibri" w:cs="calibri"/>
          <w:sz w:val="24"/>
          <w:szCs w:val="24"/>
        </w:rPr>
        <w:t xml:space="preserve"> – nauka, technologia, inżynieria i matematyka).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w finansach? Tylko na umowie o pracę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rodzaj oferowanego zatrudnienia, to zdecydowanie wyróżnia się kategoria </w:t>
      </w:r>
      <w:r>
        <w:rPr>
          <w:rFonts w:ascii="calibri" w:hAnsi="calibri" w:eastAsia="calibri" w:cs="calibri"/>
          <w:sz w:val="24"/>
          <w:szCs w:val="24"/>
          <w:b/>
        </w:rPr>
        <w:t xml:space="preserve">finansów</w:t>
      </w:r>
      <w:r>
        <w:rPr>
          <w:rFonts w:ascii="calibri" w:hAnsi="calibri" w:eastAsia="calibri" w:cs="calibri"/>
          <w:sz w:val="24"/>
          <w:szCs w:val="24"/>
        </w:rPr>
        <w:t xml:space="preserve">, w której w aż </w:t>
      </w:r>
      <w:r>
        <w:rPr>
          <w:rFonts w:ascii="calibri" w:hAnsi="calibri" w:eastAsia="calibri" w:cs="calibri"/>
          <w:sz w:val="24"/>
          <w:szCs w:val="24"/>
          <w:b/>
        </w:rPr>
        <w:t xml:space="preserve">90 proc. ofert </w:t>
      </w:r>
      <w:r>
        <w:rPr>
          <w:rFonts w:ascii="calibri" w:hAnsi="calibri" w:eastAsia="calibri" w:cs="calibri"/>
          <w:sz w:val="24"/>
          <w:szCs w:val="24"/>
        </w:rPr>
        <w:t xml:space="preserve">proponuje się </w:t>
      </w:r>
      <w:r>
        <w:rPr>
          <w:rFonts w:ascii="calibri" w:hAnsi="calibri" w:eastAsia="calibri" w:cs="calibri"/>
          <w:sz w:val="24"/>
          <w:szCs w:val="24"/>
          <w:b/>
        </w:rPr>
        <w:t xml:space="preserve">zatrudnienie na podstawie umowy o pracę</w:t>
      </w:r>
      <w:r>
        <w:rPr>
          <w:rFonts w:ascii="calibri" w:hAnsi="calibri" w:eastAsia="calibri" w:cs="calibri"/>
          <w:sz w:val="24"/>
          <w:szCs w:val="24"/>
        </w:rPr>
        <w:t xml:space="preserve">. W przypadku kontraktów B2B jest to już tylko 20,1 proc., przy czym niektóre firmy proponują więcej niż jeden rodzaj umowy.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marketingu i sprzedaży udział ofert zatrudnienia na umowie o pracę i kontrakcie B2B rozkłada się mniej więcej po równo. W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jest to </w:t>
      </w:r>
      <w:r>
        <w:rPr>
          <w:rFonts w:ascii="calibri" w:hAnsi="calibri" w:eastAsia="calibri" w:cs="calibri"/>
          <w:sz w:val="24"/>
          <w:szCs w:val="24"/>
          <w:b/>
        </w:rPr>
        <w:t xml:space="preserve">61,4 proc</w:t>
      </w:r>
      <w:r>
        <w:rPr>
          <w:rFonts w:ascii="calibri" w:hAnsi="calibri" w:eastAsia="calibri" w:cs="calibri"/>
          <w:sz w:val="24"/>
          <w:szCs w:val="24"/>
        </w:rPr>
        <w:t xml:space="preserve">. dla umów o pracę i </w:t>
      </w:r>
      <w:r>
        <w:rPr>
          <w:rFonts w:ascii="calibri" w:hAnsi="calibri" w:eastAsia="calibri" w:cs="calibri"/>
          <w:sz w:val="24"/>
          <w:szCs w:val="24"/>
          <w:b/>
        </w:rPr>
        <w:t xml:space="preserve">65,6 proc.</w:t>
      </w:r>
      <w:r>
        <w:rPr>
          <w:rFonts w:ascii="calibri" w:hAnsi="calibri" w:eastAsia="calibri" w:cs="calibri"/>
          <w:sz w:val="24"/>
          <w:szCs w:val="24"/>
        </w:rPr>
        <w:t xml:space="preserve"> dla B2B, a w sprzedaży – </w:t>
      </w:r>
      <w:r>
        <w:rPr>
          <w:rFonts w:ascii="calibri" w:hAnsi="calibri" w:eastAsia="calibri" w:cs="calibri"/>
          <w:sz w:val="24"/>
          <w:szCs w:val="24"/>
          <w:b/>
        </w:rPr>
        <w:t xml:space="preserve">59,6 proc.</w:t>
      </w:r>
      <w:r>
        <w:rPr>
          <w:rFonts w:ascii="calibri" w:hAnsi="calibri" w:eastAsia="calibri" w:cs="calibri"/>
          <w:sz w:val="24"/>
          <w:szCs w:val="24"/>
        </w:rPr>
        <w:t xml:space="preserve"> dla umów o pracę oraz </w:t>
      </w:r>
      <w:r>
        <w:rPr>
          <w:rFonts w:ascii="calibri" w:hAnsi="calibri" w:eastAsia="calibri" w:cs="calibri"/>
          <w:sz w:val="24"/>
          <w:szCs w:val="24"/>
          <w:b/>
        </w:rPr>
        <w:t xml:space="preserve">54,3 proc.</w:t>
      </w:r>
      <w:r>
        <w:rPr>
          <w:rFonts w:ascii="calibri" w:hAnsi="calibri" w:eastAsia="calibri" w:cs="calibri"/>
          <w:sz w:val="24"/>
          <w:szCs w:val="24"/>
        </w:rPr>
        <w:t xml:space="preserve"> dla B2B. Również ten trend jest odwrotny do tego, co od lat można obserwować w branży IT, gdzie zdecydowana większość ogłoszeń jako formę współpracę proponuje kontrakty B2B.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Oferowane benefity (prawie) takie same bez względu na branżę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benefity, to dwa najczęściej oferowane w marketingu, sprzedaży i finansach są takie same – </w:t>
      </w:r>
      <w:r>
        <w:rPr>
          <w:rFonts w:ascii="calibri" w:hAnsi="calibri" w:eastAsia="calibri" w:cs="calibri"/>
          <w:sz w:val="24"/>
          <w:szCs w:val="24"/>
          <w:b/>
        </w:rPr>
        <w:t xml:space="preserve">prywatna opieka medyczna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karta sportowa</w:t>
      </w:r>
      <w:r>
        <w:rPr>
          <w:rFonts w:ascii="calibri" w:hAnsi="calibri" w:eastAsia="calibri" w:cs="calibri"/>
          <w:sz w:val="24"/>
          <w:szCs w:val="24"/>
        </w:rPr>
        <w:t xml:space="preserve">. Różnica pojawia się dopiero na trzecim miejscu. W sprzedaży jest to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przy projektach międzynarodowych</w:t>
      </w:r>
      <w:r>
        <w:rPr>
          <w:rFonts w:ascii="calibri" w:hAnsi="calibri" w:eastAsia="calibri" w:cs="calibri"/>
          <w:sz w:val="24"/>
          <w:szCs w:val="24"/>
        </w:rPr>
        <w:t xml:space="preserve">, w marketingu </w:t>
      </w:r>
      <w:r>
        <w:rPr>
          <w:rFonts w:ascii="calibri" w:hAnsi="calibri" w:eastAsia="calibri" w:cs="calibri"/>
          <w:sz w:val="24"/>
          <w:szCs w:val="24"/>
          <w:b/>
        </w:rPr>
        <w:t xml:space="preserve">praca w małych zespołach</w:t>
      </w:r>
      <w:r>
        <w:rPr>
          <w:rFonts w:ascii="calibri" w:hAnsi="calibri" w:eastAsia="calibri" w:cs="calibri"/>
          <w:sz w:val="24"/>
          <w:szCs w:val="24"/>
        </w:rPr>
        <w:t xml:space="preserve">, a w finansach </w:t>
      </w:r>
      <w:r>
        <w:rPr>
          <w:rFonts w:ascii="calibri" w:hAnsi="calibri" w:eastAsia="calibri" w:cs="calibri"/>
          <w:sz w:val="24"/>
          <w:szCs w:val="24"/>
          <w:b/>
        </w:rPr>
        <w:t xml:space="preserve">budżet szkoleniowy</w:t>
      </w:r>
      <w:r>
        <w:rPr>
          <w:rFonts w:ascii="calibri" w:hAnsi="calibri" w:eastAsia="calibri" w:cs="calibri"/>
          <w:sz w:val="24"/>
          <w:szCs w:val="24"/>
        </w:rPr>
        <w:t xml:space="preserve">. W ogłoszeniach z innych kategorii „benefitowe podium” prezentuje się podobnie.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Najwyższe widełki wynagrodzeń znajdziemy w finansach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publikacji ogłoszeń na No Fluff Jobs wymagane jest podanie widełek płacowych, czyli przedziału proponowanego wynagrodzenia. W ostatnim kwartale w ofertach z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sprzedaży</w:t>
      </w:r>
      <w:r>
        <w:rPr>
          <w:rFonts w:ascii="calibri" w:hAnsi="calibri" w:eastAsia="calibri" w:cs="calibri"/>
          <w:sz w:val="24"/>
          <w:szCs w:val="24"/>
        </w:rPr>
        <w:t xml:space="preserve"> mediana oferowanych płac wyniosła </w:t>
      </w:r>
      <w:r>
        <w:rPr>
          <w:rFonts w:ascii="calibri" w:hAnsi="calibri" w:eastAsia="calibri" w:cs="calibri"/>
          <w:sz w:val="24"/>
          <w:szCs w:val="24"/>
          <w:b/>
        </w:rPr>
        <w:t xml:space="preserve">6,1-9 tys. zł brutto</w:t>
      </w:r>
      <w:r>
        <w:rPr>
          <w:rFonts w:ascii="calibri" w:hAnsi="calibri" w:eastAsia="calibri" w:cs="calibri"/>
          <w:sz w:val="24"/>
          <w:szCs w:val="24"/>
        </w:rPr>
        <w:t xml:space="preserve"> na umowie o pracę i </w:t>
      </w:r>
      <w:r>
        <w:rPr>
          <w:rFonts w:ascii="calibri" w:hAnsi="calibri" w:eastAsia="calibri" w:cs="calibri"/>
          <w:sz w:val="24"/>
          <w:szCs w:val="24"/>
          <w:b/>
        </w:rPr>
        <w:t xml:space="preserve">8-12 tys. zł netto (+ VAT)</w:t>
      </w:r>
      <w:r>
        <w:rPr>
          <w:rFonts w:ascii="calibri" w:hAnsi="calibri" w:eastAsia="calibri" w:cs="calibri"/>
          <w:sz w:val="24"/>
          <w:szCs w:val="24"/>
        </w:rPr>
        <w:t xml:space="preserve"> na kontrakcie B2B.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marketingu</w:t>
      </w:r>
      <w:r>
        <w:rPr>
          <w:rFonts w:ascii="calibri" w:hAnsi="calibri" w:eastAsia="calibri" w:cs="calibri"/>
          <w:sz w:val="24"/>
          <w:szCs w:val="24"/>
        </w:rPr>
        <w:t xml:space="preserve"> było to </w:t>
      </w:r>
      <w:r>
        <w:rPr>
          <w:rFonts w:ascii="calibri" w:hAnsi="calibri" w:eastAsia="calibri" w:cs="calibri"/>
          <w:sz w:val="24"/>
          <w:szCs w:val="24"/>
          <w:b/>
        </w:rPr>
        <w:t xml:space="preserve">6-9 tys. zł brutto</w:t>
      </w:r>
      <w:r>
        <w:rPr>
          <w:rFonts w:ascii="calibri" w:hAnsi="calibri" w:eastAsia="calibri" w:cs="calibri"/>
          <w:sz w:val="24"/>
          <w:szCs w:val="24"/>
        </w:rPr>
        <w:t xml:space="preserve"> na umowie o pracę i </w:t>
      </w:r>
      <w:r>
        <w:rPr>
          <w:rFonts w:ascii="calibri" w:hAnsi="calibri" w:eastAsia="calibri" w:cs="calibri"/>
          <w:sz w:val="24"/>
          <w:szCs w:val="24"/>
          <w:b/>
        </w:rPr>
        <w:t xml:space="preserve">7,5-10 tys. netto (+ VAT) </w:t>
      </w:r>
      <w:r>
        <w:rPr>
          <w:rFonts w:ascii="calibri" w:hAnsi="calibri" w:eastAsia="calibri" w:cs="calibri"/>
          <w:sz w:val="24"/>
          <w:szCs w:val="24"/>
        </w:rPr>
        <w:t xml:space="preserve">na B2B. Spośród omawianych kategorii najwyższe oferowane pensje można znaleźć w </w:t>
      </w:r>
      <w:r>
        <w:rPr>
          <w:rFonts w:ascii="calibri" w:hAnsi="calibri" w:eastAsia="calibri" w:cs="calibri"/>
          <w:sz w:val="24"/>
          <w:szCs w:val="24"/>
          <w:b/>
        </w:rPr>
        <w:t xml:space="preserve">finansach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– 8-10 tys. zł brutto </w:t>
      </w:r>
      <w:r>
        <w:rPr>
          <w:rFonts w:ascii="calibri" w:hAnsi="calibri" w:eastAsia="calibri" w:cs="calibri"/>
          <w:sz w:val="24"/>
          <w:szCs w:val="24"/>
        </w:rPr>
        <w:t xml:space="preserve">na umowie o pracę i </w:t>
      </w:r>
      <w:r>
        <w:rPr>
          <w:rFonts w:ascii="calibri" w:hAnsi="calibri" w:eastAsia="calibri" w:cs="calibri"/>
          <w:sz w:val="24"/>
          <w:szCs w:val="24"/>
          <w:b/>
        </w:rPr>
        <w:t xml:space="preserve">9-13 tys. zł netto (+ VAT)</w:t>
      </w:r>
      <w:r>
        <w:rPr>
          <w:rFonts w:ascii="calibri" w:hAnsi="calibri" w:eastAsia="calibri" w:cs="calibri"/>
          <w:sz w:val="24"/>
          <w:szCs w:val="24"/>
        </w:rPr>
        <w:t xml:space="preserve"> na kontrakcie B2B.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Kandydaci nie ufają firmom, które nie podają wynagrodzeń w ofertach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Podawanie widełek płacowych w ogłoszeniach o pracy nie jest standardem na rynku, chociaż dzięki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unijnej 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dyrektywie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o transparentności płac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się to musiało zmienić - od czerwca 2026 r. firmy będą musiały poinformować o wynagrodzeniu na etapie procesu rekrutacji. By ułatwić firmom dostosowanie się do nadchodzących zmian, No Fluff Jobs rozpoczął akcję edukacyjną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„Widełki wszędzie”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Jej celem jest wyposażenie pracodawców i pracodawczyń w wiedzę o tym, jak projektować poziomy wynagrodzeń w firmie i jak je komunikować wewnętrznie oraz w ogłoszeniach. Aby ułatwić pracodawcom wejście w świat widełek,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do końca października umożliwia bezpłatne wstawienie ogłoszeń</w:t>
      </w:r>
      <w:r>
        <w:rPr>
          <w:rFonts w:ascii="calibri" w:hAnsi="calibri" w:eastAsia="calibri" w:cs="calibri"/>
          <w:sz w:val="24"/>
          <w:szCs w:val="24"/>
        </w:rPr>
        <w:t xml:space="preserve"> z widełkami w wybranych kategoriach. Więcej informacji o promocji można znaleźć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przeprowadzonego na zlecenie No Fluff Jobs tylko </w:t>
      </w:r>
      <w:r>
        <w:rPr>
          <w:rFonts w:ascii="calibri" w:hAnsi="calibri" w:eastAsia="calibri" w:cs="calibri"/>
          <w:sz w:val="24"/>
          <w:szCs w:val="24"/>
          <w:b/>
        </w:rPr>
        <w:t xml:space="preserve">12 proc. aktywnych zawodowo Polek i Polaków ma zaufanie do pracodawców, którzy nie podają zakresów wynagrodzeń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 ogłoszeniach o pracy</w:t>
      </w:r>
      <w:r>
        <w:rPr>
          <w:rFonts w:ascii="calibri" w:hAnsi="calibri" w:eastAsia="calibri" w:cs="calibri"/>
          <w:sz w:val="24"/>
          <w:szCs w:val="24"/>
        </w:rPr>
        <w:t xml:space="preserve">. Jednocześnie tylko w teoretycznie słynącej z nowoczesnego podejścia do rekrutacji branży IT siatki płac ma opracowane jedynie 30 proc.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Metodyka badań: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oceny ogłoszeń o pracy na zlecenie No Fluff Jobs w sierpniu 2023 r. przeprowadziła firma Omnisurv by IQS na grupie reprezentatywnej 1000 aktywnych zawodowo Polek i Polaków w wieku 18-64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doświadczeń specjalistów i specjalistek IT na rynku pracy na zlecenie No Fluff Jobs w czerwcu 2023 przeprowadziła firma Fieldstat na reprezentatywnej grupie 700 specjalistów i specjalistek z 5 najpopularniejszych specjalizacji IT: Backend, Frontend, Fullstack, Testing, Project Management.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co-mowi-unijna-dyrektywa-o-transparentnosci-plac/?utm_source=pr&amp;amp;amp;utm_medium=article&amp;amp;amp;utm_campaign=widelkiwszedzie&amp;amp;amp;utm_content=26.09.2023" TargetMode="External"/><Relationship Id="rId8" Type="http://schemas.openxmlformats.org/officeDocument/2006/relationships/hyperlink" Target="https://nofluffjobs.com/insights/widelkiwszedzie/?utm_source=pr&amp;amp;amp;utm_medium=article&amp;amp;amp;utm_campaign=widelkiwszedzie&amp;amp;amp;utm_content=26.09.2023" TargetMode="External"/><Relationship Id="rId9" Type="http://schemas.openxmlformats.org/officeDocument/2006/relationships/hyperlink" Target="https://promo.nofluffjobs.com/freejobad?utm_source=pr&amp;amp;amp;utm_medium=article&amp;amp;amp;utm_campaign=widelkiwszedzie&amp;amp;amp;utm_content=26.09.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2026-01-02T22:59:23+01:00</dcterms:created>
  <dcterms:modified xsi:type="dcterms:W3CDTF">2026-01-02T22:59:23+01:00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