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Branża IT wraca do biur – spadek liczby ogłoszeń oferujących pracę zdalną, jednocześnie ciągłe wzrosty wynagrodzeń. Nowe dane No Fluff Jobs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branży IT wciąż rosną wynagrodzenia, w pierwszym kwartale 2022 roku specjaliści(-tki) IT przy umowie B2B mogli zarobić od 15 do 21 tys. złotych netto + VAT, a w analogicznym okresie w 2023 roku już od 16,8 do 23,6 złotych netto + VAT. Jednocześnie odnotowano wyraźny spadek ofert z opcją pracy zdalnej – w pierwszym kwartale 2022 roku było to 70 proc., a w 2023 to już 61 proc. No Fluff Jobs publikuje podsumowanie pierwszego kwartału 2023 roku w branży IT.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Spadek liczby ogłoszeń oferujących pracę zdalną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Jeszcze w I kwartale 2022 udział ogłoszeń z możliwością pracy zdalnej na portalu No Fluff Jobs wynosił 70,7 proc., po czym zaczął sukcesywnie maleć: pod koniec roku (IV kwartał) spadł do 64,3 proc., a w I kwartale 2023 roku tylko 61,3 proc. ogłoszeń oferowała pracę z domu. W I kwartale 2022 roku praca stacjonarna pojawiła się w 23,9 proc. ogłoszeniach, a rok później – w co czwartej ofercie (24,3 proc.). Natomiast tryb hybrydowy w ciągu roku zwiększył swój udział z 5,3 proc. do 14,3 proc. 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Trend przechodzenia z pracy zdalnej na pracę stacjonarną lub hybrydową widać już wyraźnie za oceanem. Firmy, które w pandemii przeszły na tryb zdalny, zaczynają wprowadzać politykę „powrotu do biur”, mowa m.in. o takich graczach jak Twitter, Snap, Disney czy Apple. Jednocześnie widzimy, że dalej utrzymuje się trend „dane nową ropą”, bo w czasach zwolnień i tzw. „hiring freeze” kategorie, które zaliczyły największy wzrost liczby ogłoszeń, to te związane z danymi. Dostrzegamy także powoli następującą stabilizację, ofert dla programistów(-ek) nie przybywa już tak gwałtownie, jak miało to miejsce w okresie pandemii, co wcale nie zmienia faktu, że luka kadrowa jest wciąż ogromna, a oferty dla osób zajmujących się kodowaniem wciąż stanowią największą grupę ofert zamieszczanych na portalu No Fluff Jobs</w:t>
      </w:r>
      <w:r>
        <w:rPr>
          <w:rFonts w:ascii="calibri" w:hAnsi="calibri" w:eastAsia="calibri" w:cs="calibri"/>
          <w:sz w:val="24"/>
          <w:szCs w:val="24"/>
        </w:rPr>
        <w:t xml:space="preserve"> – komentuje </w:t>
      </w:r>
      <w:r>
        <w:rPr>
          <w:rFonts w:ascii="calibri" w:hAnsi="calibri" w:eastAsia="calibri" w:cs="calibri"/>
          <w:sz w:val="24"/>
          <w:szCs w:val="24"/>
          <w:b/>
        </w:rPr>
        <w:t xml:space="preserve">Tomasz Bujok, CEO w No Fluff Jobs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Branża IT wciąż odnotowuje wzrosty wynagrodzeń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Branża IT wciąż odnotowuje wzrosty wynagrodzeń. Porównując pierwszy kwartał 2022 roku i analogiczny okres w 2023 roku, widzimy, że specjaliści(-ki) w tym obszarze zarabiają więcej. W przypadku kontraktów (B2B) na początku zeszłego roku była mowa o pensjach na poziomie od 15 do 21 tys. złotych netto + VAT, a w 2023 już od 16,8 do 23,6 złotych netto + VAT. Natomiast przy umowie o pracę pracownicy(-czki) IT zarabiali w pierwszym kwartale 2022 roku od 11 do 17 tys. złotych brutto, a w 2023 roku od 12 do 17,5 tys. złotych brutto.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Mniejsza liczba ogłoszeń dla kategorii Frontend i Backend, wzrost dla Big Data i Business Analyst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zestawieniu danych No Fluff Jobs widać również zmiany zapotrzebowania na poszczególne specjalizacje. W pierwszym kwartale 2023 roku udział ofert w kategorii </w:t>
      </w:r>
      <w:r>
        <w:rPr>
          <w:rFonts w:ascii="calibri" w:hAnsi="calibri" w:eastAsia="calibri" w:cs="calibri"/>
          <w:sz w:val="24"/>
          <w:szCs w:val="24"/>
          <w:b/>
        </w:rPr>
        <w:t xml:space="preserve">Frontend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spadł o 5,3 p.p.</w:t>
      </w:r>
      <w:r>
        <w:rPr>
          <w:rFonts w:ascii="calibri" w:hAnsi="calibri" w:eastAsia="calibri" w:cs="calibri"/>
          <w:sz w:val="24"/>
          <w:szCs w:val="24"/>
        </w:rPr>
        <w:t xml:space="preserve"> w porównaniu do analogicznego okresu rok wcześniej. W przypadku </w:t>
      </w:r>
      <w:r>
        <w:rPr>
          <w:rFonts w:ascii="calibri" w:hAnsi="calibri" w:eastAsia="calibri" w:cs="calibri"/>
          <w:sz w:val="24"/>
          <w:szCs w:val="24"/>
          <w:b/>
        </w:rPr>
        <w:t xml:space="preserve">Backendu spadek wyniósł 4,2 p.p.</w:t>
      </w:r>
      <w:r>
        <w:rPr>
          <w:rFonts w:ascii="calibri" w:hAnsi="calibri" w:eastAsia="calibri" w:cs="calibri"/>
          <w:sz w:val="24"/>
          <w:szCs w:val="24"/>
        </w:rPr>
        <w:t xml:space="preserve"> Z kolei wzrosła popularność ogłoszeń z kategorii </w:t>
      </w:r>
      <w:r>
        <w:rPr>
          <w:rFonts w:ascii="calibri" w:hAnsi="calibri" w:eastAsia="calibri" w:cs="calibri"/>
          <w:sz w:val="24"/>
          <w:szCs w:val="24"/>
          <w:b/>
        </w:rPr>
        <w:t xml:space="preserve">Big Data (+ 2,4 p.p.) oraz Business Analyst (+ 2,2 p.p.)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Mediana dolnych i górnych widełek w pierwszym kwartale 2023 roku dla wyżej wymienionych kategorii to odpowiednio: </w:t>
      </w:r>
      <w:r>
        <w:rPr>
          <w:rFonts w:ascii="calibri" w:hAnsi="calibri" w:eastAsia="calibri" w:cs="calibri"/>
          <w:sz w:val="24"/>
          <w:szCs w:val="24"/>
          <w:b/>
        </w:rPr>
        <w:t xml:space="preserve">Frontend –</w:t>
      </w:r>
      <w:r>
        <w:rPr>
          <w:rFonts w:ascii="calibri" w:hAnsi="calibri" w:eastAsia="calibri" w:cs="calibri"/>
          <w:sz w:val="24"/>
          <w:szCs w:val="24"/>
        </w:rPr>
        <w:t xml:space="preserve"> przy B2B od 18 do 25 tys. netto + VAT, przy UoP od 15 do 21 tys. złotych brutto; </w:t>
      </w:r>
      <w:r>
        <w:rPr>
          <w:rFonts w:ascii="calibri" w:hAnsi="calibri" w:eastAsia="calibri" w:cs="calibri"/>
          <w:sz w:val="24"/>
          <w:szCs w:val="24"/>
          <w:b/>
        </w:rPr>
        <w:t xml:space="preserve">Backend –</w:t>
      </w:r>
      <w:r>
        <w:rPr>
          <w:rFonts w:ascii="calibri" w:hAnsi="calibri" w:eastAsia="calibri" w:cs="calibri"/>
          <w:sz w:val="24"/>
          <w:szCs w:val="24"/>
        </w:rPr>
        <w:t xml:space="preserve"> przy B2B od 18 do 26 tys. złotych netto + VAT, przy UoP od 14 do 20 tys. złotych brutto; </w:t>
      </w:r>
      <w:r>
        <w:rPr>
          <w:rFonts w:ascii="calibri" w:hAnsi="calibri" w:eastAsia="calibri" w:cs="calibri"/>
          <w:sz w:val="24"/>
          <w:szCs w:val="24"/>
          <w:b/>
        </w:rPr>
        <w:t xml:space="preserve">Big Data – </w:t>
      </w:r>
      <w:r>
        <w:rPr>
          <w:rFonts w:ascii="calibri" w:hAnsi="calibri" w:eastAsia="calibri" w:cs="calibri"/>
          <w:sz w:val="24"/>
          <w:szCs w:val="24"/>
        </w:rPr>
        <w:t xml:space="preserve">przy B2B od 20,2 do 28,6 tys. złotych netto + VAT, przy UoP od 16,5 do 23 tys. złotych brutto oraz </w:t>
      </w:r>
      <w:r>
        <w:rPr>
          <w:rFonts w:ascii="calibri" w:hAnsi="calibri" w:eastAsia="calibri" w:cs="calibri"/>
          <w:sz w:val="24"/>
          <w:szCs w:val="24"/>
          <w:b/>
        </w:rPr>
        <w:t xml:space="preserve">Business Analyst –</w:t>
      </w:r>
      <w:r>
        <w:rPr>
          <w:rFonts w:ascii="calibri" w:hAnsi="calibri" w:eastAsia="calibri" w:cs="calibri"/>
          <w:sz w:val="24"/>
          <w:szCs w:val="24"/>
        </w:rPr>
        <w:t xml:space="preserve"> przy B2B od 16,8 do 22 tys. złotych netto + VAT, a przy UoP od 12 do 18 tys. złotych brutto.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2026-10-13T04:05:52+02:00</dcterms:created>
  <dcterms:modified xsi:type="dcterms:W3CDTF">2026-10-13T04:05:52+02:00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