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Stagnacja wynagrodzeń w IT – wzrosty są minimalne, wynagrodzenia dla najbardziej doświadczonych spadły, choć nadal sięgają nawet 27,5 tys. zł. No Fluff Jobs podsumowuje 2024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Sytuacja w branży IT, od dwóch lat borykającej się z kryzysem, w 2024 r. zaczęła się stabilizować. Spadki oferowanych zarobków były niewielkie, a w większości specjalizacji odnotowano niewielkie wzrosty. Mediany górnych widełek dla najbardziej doświadczonych specjalistów IT sięgają obecnie 27,5 tys. zł netto (+ VAT) w przypadku umów B2B oraz 23 tys. zł brutto na UoP. Drugi rok z rzędu spadł odsetek ofert z możliwością pracy zdalnej, chociaż nadal można ją znaleźć w 48 proc. ogłoszeń. Pewne oszczędności ze strony firm widać w zakresie benefitów pozapłacowych. Popularność prywatnej opieki medycznej pozostaje niezachwiana (blisko 80 proc. ogłoszeń), spadek zaliczyły natomiast takie dodatki jak karta sportowa czy budżet szkoleniowy.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pod względem liczby rekrutacji branża IT w 2024 r. utrzymała niewielką tendencję spadkową, to </w:t>
      </w:r>
      <w:r>
        <w:rPr>
          <w:rFonts w:ascii="calibri" w:hAnsi="calibri" w:eastAsia="calibri" w:cs="calibri"/>
          <w:sz w:val="24"/>
          <w:szCs w:val="24"/>
          <w:b/>
        </w:rPr>
        <w:t xml:space="preserve">zarobki nie uległy szczególnym zmianom</w:t>
      </w:r>
      <w:r>
        <w:rPr>
          <w:rFonts w:ascii="calibri" w:hAnsi="calibri" w:eastAsia="calibri" w:cs="calibri"/>
          <w:sz w:val="24"/>
          <w:szCs w:val="24"/>
        </w:rPr>
        <w:t xml:space="preserve">. Odnotowane spadki nie były duże, a w większości specjalizacji widać wzrosty oferowanych wynagrodzeń. Nie są one jednak spektakularne i wynoszą po kilka procent w skali roku – a nie, jak kiedyś, po kilkanaście lub nawet ponad 20 proc. To wnioski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najnowszego raportu „Rynek pracy IT 2024/2025”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od 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ogłoszeniami, który od 10 lat ułatwia kandydatom i kandydatkom znalezienie pracy dopasowanej do ich oczekiwań finansowych. Partnerem raportu jest RTB House.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r. w IT zarobki oferowane na umowach B2B kandydatom i kandydatkom na </w:t>
      </w:r>
      <w:r>
        <w:rPr>
          <w:rFonts w:ascii="calibri" w:hAnsi="calibri" w:eastAsia="calibri" w:cs="calibri"/>
          <w:sz w:val="24"/>
          <w:szCs w:val="24"/>
          <w:b/>
        </w:rPr>
        <w:t xml:space="preserve">stanowiska seniorskie </w:t>
      </w:r>
      <w:r>
        <w:rPr>
          <w:rFonts w:ascii="calibri" w:hAnsi="calibri" w:eastAsia="calibri" w:cs="calibri"/>
          <w:sz w:val="24"/>
          <w:szCs w:val="24"/>
        </w:rPr>
        <w:t xml:space="preserve">wzrosły rok do roku w medianie dolnych widełek o niecałe 3 proc. i wyniosły 21,8 tys. zł netto (+VAT), a w medianie górnych widełek spadły o 3,5 proc. i wyniosły 27,5 tys. złotych (+VAT). W przypadku umów o pracę pozostały bez zmian (17-23 tys. zł brutto). Na </w:t>
      </w:r>
      <w:r>
        <w:rPr>
          <w:rFonts w:ascii="calibri" w:hAnsi="calibri" w:eastAsia="calibri" w:cs="calibri"/>
          <w:sz w:val="24"/>
          <w:szCs w:val="24"/>
          <w:b/>
        </w:rPr>
        <w:t xml:space="preserve">stanowiskach juniorskich</w:t>
      </w:r>
      <w:r>
        <w:rPr>
          <w:rFonts w:ascii="calibri" w:hAnsi="calibri" w:eastAsia="calibri" w:cs="calibri"/>
          <w:sz w:val="24"/>
          <w:szCs w:val="24"/>
        </w:rPr>
        <w:t xml:space="preserve"> jedyną zmianą w stosunku do 2023 r. był spadek maksymalnych widełek wynagrodzeń na kontrakcie B2B o niecałe 4 proc. Mediany dolnych i górnych widełek z ofert dla początkujących wyniosły 7-10,5 tys. netto (+ VAT) na B2B oraz 6-9 tys. zł brutto na umowie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w przypadku osób</w:t>
      </w:r>
      <w:r>
        <w:rPr>
          <w:rFonts w:ascii="calibri" w:hAnsi="calibri" w:eastAsia="calibri" w:cs="calibri"/>
          <w:sz w:val="24"/>
          <w:szCs w:val="24"/>
          <w:b/>
        </w:rPr>
        <w:t xml:space="preserve"> o średnim poziomie doświadczenia </w:t>
      </w:r>
      <w:r>
        <w:rPr>
          <w:rFonts w:ascii="calibri" w:hAnsi="calibri" w:eastAsia="calibri" w:cs="calibri"/>
          <w:sz w:val="24"/>
          <w:szCs w:val="24"/>
        </w:rPr>
        <w:t xml:space="preserve">(tzw. midów lub regularów) mediana dolnych widełek wzrosła o 5 proc. na kontrakcie B2B (do 16,8 tys. zł netto + VAT) oraz o niecałe 3,5 proc. na umowie o pracę (12,4 tys. zł brutto). Mediany górnych widełek pozostały niezmienione (22 tys. zł netto + VAT na B2B oraz 18 tys. zł brutto na umowie o pracę).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zarobki w poszczególnych kategoriach IT, można zauważyć pewną stabilizację. Spadki w widełkach wynagrodzeń odnotowano tylko w siedmiu specjalizacjach, a najmocniej ucierpiały </w:t>
      </w:r>
      <w:r>
        <w:rPr>
          <w:rFonts w:ascii="calibri" w:hAnsi="calibri" w:eastAsia="calibri" w:cs="calibri"/>
          <w:sz w:val="24"/>
          <w:szCs w:val="24"/>
          <w:b/>
        </w:rPr>
        <w:t xml:space="preserve">Project Management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DevOps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Mobile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Frontend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2024 roku zauważalna była stagnacja w zarobkach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Tam, gdzie były wzrosty lub spadki, zmiana była maksymalnie kilkuprocentowa, więc możemy śmiało mówić o próbie utrzymania poziomu wynagrodzeń na rynku. W takich warunkach dało się zauważyć pewną prawidłowość – oferowane pensje rosły po pierwsze w tych specjalizacjach, na które globalnie rośnie zapotrzebowanie, jak Data &amp; Business Intelligence, AI czy Security, a po drugie tam, gdzie przez lata zarobki były na niższym poziomie np. Support czy UX / UI / Design.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Nadal spada odsetek ofert z możliwością pracy zdalnej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roku ponad ⅓ ogłoszeń o pracy w IT dotyczyła stanowisk programistycznych, nie dziwi więc fakt, że </w:t>
      </w:r>
      <w:r>
        <w:rPr>
          <w:rFonts w:ascii="calibri" w:hAnsi="calibri" w:eastAsia="calibri" w:cs="calibri"/>
          <w:sz w:val="24"/>
          <w:szCs w:val="24"/>
          <w:b/>
        </w:rPr>
        <w:t xml:space="preserve">wśród najczęstszych wymagań królują języki programowania</w:t>
      </w:r>
      <w:r>
        <w:rPr>
          <w:rFonts w:ascii="calibri" w:hAnsi="calibri" w:eastAsia="calibri" w:cs="calibri"/>
          <w:sz w:val="24"/>
          <w:szCs w:val="24"/>
        </w:rPr>
        <w:t xml:space="preserve">. W co piątym ogłoszeniu wymieniano </w:t>
      </w:r>
      <w:r>
        <w:rPr>
          <w:rFonts w:ascii="calibri" w:hAnsi="calibri" w:eastAsia="calibri" w:cs="calibri"/>
          <w:sz w:val="24"/>
          <w:szCs w:val="24"/>
          <w:b/>
        </w:rPr>
        <w:t xml:space="preserve">SQL</w:t>
      </w:r>
      <w:r>
        <w:rPr>
          <w:rFonts w:ascii="calibri" w:hAnsi="calibri" w:eastAsia="calibri" w:cs="calibri"/>
          <w:sz w:val="24"/>
          <w:szCs w:val="24"/>
        </w:rPr>
        <w:t xml:space="preserve">, a tuż za nim znalazł się </w:t>
      </w:r>
      <w:r>
        <w:rPr>
          <w:rFonts w:ascii="calibri" w:hAnsi="calibri" w:eastAsia="calibri" w:cs="calibri"/>
          <w:sz w:val="24"/>
          <w:szCs w:val="24"/>
          <w:b/>
        </w:rPr>
        <w:t xml:space="preserve">Python</w:t>
      </w:r>
      <w:r>
        <w:rPr>
          <w:rFonts w:ascii="calibri" w:hAnsi="calibri" w:eastAsia="calibri" w:cs="calibri"/>
          <w:sz w:val="24"/>
          <w:szCs w:val="24"/>
        </w:rPr>
        <w:t xml:space="preserve"> (19,4 proc. ogłoszeń). Trzecie miejsce zajmuje </w:t>
      </w:r>
      <w:r>
        <w:rPr>
          <w:rFonts w:ascii="calibri" w:hAnsi="calibri" w:eastAsia="calibri" w:cs="calibri"/>
          <w:sz w:val="24"/>
          <w:szCs w:val="24"/>
          <w:b/>
        </w:rPr>
        <w:t xml:space="preserve">Java</w:t>
      </w:r>
      <w:r>
        <w:rPr>
          <w:rFonts w:ascii="calibri" w:hAnsi="calibri" w:eastAsia="calibri" w:cs="calibri"/>
          <w:sz w:val="24"/>
          <w:szCs w:val="24"/>
        </w:rPr>
        <w:t xml:space="preserve"> (18,9 proc.). Popularność tych technologii jednak wiązać należy też z innymi specjalizacjami, głównie rosnącą od lat kategorią Data &amp; Business Intelligence.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rok z rzędu spada udział ofert zatrudnienia z możliwością pracy zdalnej – w 2024 r.</w:t>
      </w:r>
      <w:r>
        <w:rPr>
          <w:rFonts w:ascii="calibri" w:hAnsi="calibri" w:eastAsia="calibri" w:cs="calibri"/>
          <w:sz w:val="24"/>
          <w:szCs w:val="24"/>
          <w:b/>
        </w:rPr>
        <w:t xml:space="preserve"> o 7,7 punktów procentowych</w:t>
      </w:r>
      <w:r>
        <w:rPr>
          <w:rFonts w:ascii="calibri" w:hAnsi="calibri" w:eastAsia="calibri" w:cs="calibri"/>
          <w:sz w:val="24"/>
          <w:szCs w:val="24"/>
        </w:rPr>
        <w:t xml:space="preserve"> w porównaniu do 2023 r. Mimo to nadal jest to najpopularniejsza opcja, wymieniana w </w:t>
      </w:r>
      <w:r>
        <w:rPr>
          <w:rFonts w:ascii="calibri" w:hAnsi="calibri" w:eastAsia="calibri" w:cs="calibri"/>
          <w:sz w:val="24"/>
          <w:szCs w:val="24"/>
          <w:b/>
        </w:rPr>
        <w:t xml:space="preserve">blisko 48 proc. ogłoszeń</w:t>
      </w:r>
      <w:r>
        <w:rPr>
          <w:rFonts w:ascii="calibri" w:hAnsi="calibri" w:eastAsia="calibri" w:cs="calibri"/>
          <w:sz w:val="24"/>
          <w:szCs w:val="24"/>
        </w:rPr>
        <w:t xml:space="preserve">. Praca hybrydowa zrównała się już z pracą stacjonarną (po 26 proc. ofert).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r. dało się też zauważyć stagnację, czy nawet oszczędności w zakresie benefitów pozapłacowych. Od lat zajmująca pierwsze miejsce pod względem popularności </w:t>
      </w:r>
      <w:r>
        <w:rPr>
          <w:rFonts w:ascii="calibri" w:hAnsi="calibri" w:eastAsia="calibri" w:cs="calibri"/>
          <w:sz w:val="24"/>
          <w:szCs w:val="24"/>
          <w:b/>
        </w:rPr>
        <w:t xml:space="preserve">prywatna opieka medyczna</w:t>
      </w:r>
      <w:r>
        <w:rPr>
          <w:rFonts w:ascii="calibri" w:hAnsi="calibri" w:eastAsia="calibri" w:cs="calibri"/>
          <w:sz w:val="24"/>
          <w:szCs w:val="24"/>
        </w:rPr>
        <w:t xml:space="preserve"> pozostała na tym samym poziomie, co wcześniej (pojawia się w </w:t>
      </w:r>
      <w:r>
        <w:rPr>
          <w:rFonts w:ascii="calibri" w:hAnsi="calibri" w:eastAsia="calibri" w:cs="calibri"/>
          <w:sz w:val="24"/>
          <w:szCs w:val="24"/>
          <w:b/>
        </w:rPr>
        <w:t xml:space="preserve">79 proc. ofert</w:t>
      </w:r>
      <w:r>
        <w:rPr>
          <w:rFonts w:ascii="calibri" w:hAnsi="calibri" w:eastAsia="calibri" w:cs="calibri"/>
          <w:sz w:val="24"/>
          <w:szCs w:val="24"/>
        </w:rPr>
        <w:t xml:space="preserve">), ale kolejne popularne dodatki – </w:t>
      </w:r>
      <w:r>
        <w:rPr>
          <w:rFonts w:ascii="calibri" w:hAnsi="calibri" w:eastAsia="calibri" w:cs="calibri"/>
          <w:sz w:val="24"/>
          <w:szCs w:val="24"/>
          <w:b/>
        </w:rPr>
        <w:t xml:space="preserve">karta sportowa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budżet szkoleniowy</w:t>
      </w:r>
      <w:r>
        <w:rPr>
          <w:rFonts w:ascii="calibri" w:hAnsi="calibri" w:eastAsia="calibri" w:cs="calibri"/>
          <w:sz w:val="24"/>
          <w:szCs w:val="24"/>
        </w:rPr>
        <w:t xml:space="preserve"> – zaliczyły </w:t>
      </w:r>
      <w:r>
        <w:rPr>
          <w:rFonts w:ascii="calibri" w:hAnsi="calibri" w:eastAsia="calibri" w:cs="calibri"/>
          <w:sz w:val="24"/>
          <w:szCs w:val="24"/>
          <w:b/>
        </w:rPr>
        <w:t xml:space="preserve">spadki rok do roku</w:t>
      </w:r>
      <w:r>
        <w:rPr>
          <w:rFonts w:ascii="calibri" w:hAnsi="calibri" w:eastAsia="calibri" w:cs="calibri"/>
          <w:sz w:val="24"/>
          <w:szCs w:val="24"/>
        </w:rPr>
        <w:t xml:space="preserve"> odpowiednio o 6 i 5 punktów procentowych. Sukcesywnie od kilku lat rośnie natomiast odsetek ogłoszeń oferujących ubezpieczenie na życie, elastyczne godziny pracy czy imprezy integracyjne.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</w:t>
      </w:r>
      <w:r>
        <w:rPr>
          <w:rFonts w:ascii="calibri" w:hAnsi="calibri" w:eastAsia="calibri" w:cs="calibri"/>
          <w:sz w:val="24"/>
          <w:szCs w:val="24"/>
          <w:b/>
        </w:rPr>
        <w:t xml:space="preserve">udogodnienia w biurze</w:t>
      </w:r>
      <w:r>
        <w:rPr>
          <w:rFonts w:ascii="calibri" w:hAnsi="calibri" w:eastAsia="calibri" w:cs="calibri"/>
          <w:sz w:val="24"/>
          <w:szCs w:val="24"/>
        </w:rPr>
        <w:t xml:space="preserve">, to niewielkie spadki na poziomie 1,5-2 punktów procentowych zaliczyły parkingi dla rowerów, prysznice czy pokoje do rekreacji. W biurach nie braknie natomiast kawy – informacja o tym udogodnieniu pojawiła się w 87 proc. ogłoszeń.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aport-rynek-pracy-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2025-12-27T19:31:56+01:00</dcterms:created>
  <dcterms:modified xsi:type="dcterms:W3CDTF">2025-12-27T19:31:56+01:00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