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Juniorzy IT najlepiej zarobią w Czechach, midzi w Polsce, a seniorzy w Ukrainie. Raport roczny podsumowujący rynek pracy w branży IT dla Europy Środkowo-Wschodniej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opublikował raport podsumowujący rynek pracy w branży IT w 2022 roku. W najnowszej edycji portal, obecny w 6 krajach Europy, postanowił po raz pierwszy przeanalizować jednocześnie wynagrodzenia w Polsce, Czechach, Ukrainie i na Węgrzech. Jak się okazało, w przypadku specjalistów(-ek) IT na poziomie mid, największe zarobki spośród badanych krajów oferuje się w Polsce – tu wynagrodzenia są na poziomie od 14,7 do 21 tys. złotych netto +VAT. Poza tym porównując wymienione kraje, to w Ukrainie odnotowano najwięcej ofert pracy zdalnej, bo aż 74 proc., a w Polsce tylko o 12 punktów procentowych mniej.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Junior najlepiej zarobi w Czechach – od 6,7 tys. do 10 tys. złotych netto +VAT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No Fluff Jobs wykazała, że w ogłoszeniach dla</w:t>
      </w:r>
      <w:r>
        <w:rPr>
          <w:rFonts w:ascii="calibri" w:hAnsi="calibri" w:eastAsia="calibri" w:cs="calibri"/>
          <w:sz w:val="24"/>
          <w:szCs w:val="24"/>
          <w:b/>
        </w:rPr>
        <w:t xml:space="preserve"> juniorów</w:t>
      </w:r>
      <w:r>
        <w:rPr>
          <w:rFonts w:ascii="calibri" w:hAnsi="calibri" w:eastAsia="calibri" w:cs="calibri"/>
          <w:sz w:val="24"/>
          <w:szCs w:val="24"/>
        </w:rPr>
        <w:t xml:space="preserve">, w przypadku umów B2B najwyższe wynagrodzenia oferowane były w </w:t>
      </w:r>
      <w:r>
        <w:rPr>
          <w:rFonts w:ascii="calibri" w:hAnsi="calibri" w:eastAsia="calibri" w:cs="calibri"/>
          <w:sz w:val="24"/>
          <w:szCs w:val="24"/>
          <w:b/>
        </w:rPr>
        <w:t xml:space="preserve">Czechach</w:t>
      </w:r>
      <w:r>
        <w:rPr>
          <w:rFonts w:ascii="calibri" w:hAnsi="calibri" w:eastAsia="calibri" w:cs="calibri"/>
          <w:sz w:val="24"/>
          <w:szCs w:val="24"/>
        </w:rPr>
        <w:t xml:space="preserve"> (równowartość od 6,7 do 10 tys. złotych netto +VAT*) i </w:t>
      </w:r>
      <w:r>
        <w:rPr>
          <w:rFonts w:ascii="calibri" w:hAnsi="calibri" w:eastAsia="calibri" w:cs="calibri"/>
          <w:sz w:val="24"/>
          <w:szCs w:val="24"/>
          <w:b/>
        </w:rPr>
        <w:t xml:space="preserve">Polsce</w:t>
      </w:r>
      <w:r>
        <w:rPr>
          <w:rFonts w:ascii="calibri" w:hAnsi="calibri" w:eastAsia="calibri" w:cs="calibri"/>
          <w:sz w:val="24"/>
          <w:szCs w:val="24"/>
        </w:rPr>
        <w:t xml:space="preserve"> (od 6,3 do 10 tys. złotych netto +VAT). W przypadku Umów o pracę na topie znów były Czechy (równowartość od 6,7 do 9,5 tys. złotych brutto*), a drugie miejsce zajęły Węgry (równowartość od 6,1 do 9,1 tys. złotych netto +VAT*).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Mid najlepiej zarobi w Polsce – od 14,7 tys. do 21 tys. złotych netto +VAT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ogłoszeniach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mid</w:t>
      </w:r>
      <w:r>
        <w:rPr>
          <w:rFonts w:ascii="calibri" w:hAnsi="calibri" w:eastAsia="calibri" w:cs="calibri"/>
          <w:sz w:val="24"/>
          <w:szCs w:val="24"/>
        </w:rPr>
        <w:t xml:space="preserve">, w przypadku umów B2B pierwsze miejsce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Polski</w:t>
      </w:r>
      <w:r>
        <w:rPr>
          <w:rFonts w:ascii="calibri" w:hAnsi="calibri" w:eastAsia="calibri" w:cs="calibri"/>
          <w:sz w:val="24"/>
          <w:szCs w:val="24"/>
        </w:rPr>
        <w:t xml:space="preserve">. To tutaj oferowane widełki mieszczą się w najwyższym przedziale spośród analizowanych krajów i wynoszą od 14,7 do 21 tys. złotych netto +VAT. Minimalnie niżej prezentowały się wynagrodzenia w </w:t>
      </w:r>
      <w:r>
        <w:rPr>
          <w:rFonts w:ascii="calibri" w:hAnsi="calibri" w:eastAsia="calibri" w:cs="calibri"/>
          <w:sz w:val="24"/>
          <w:szCs w:val="24"/>
          <w:b/>
        </w:rPr>
        <w:t xml:space="preserve">Ukrainie</w:t>
      </w:r>
      <w:r>
        <w:rPr>
          <w:rFonts w:ascii="calibri" w:hAnsi="calibri" w:eastAsia="calibri" w:cs="calibri"/>
          <w:sz w:val="24"/>
          <w:szCs w:val="24"/>
        </w:rPr>
        <w:t xml:space="preserve"> (równowartość od 13,3 do 20 tys. złotych netto +VAT*) i </w:t>
      </w:r>
      <w:r>
        <w:rPr>
          <w:rFonts w:ascii="calibri" w:hAnsi="calibri" w:eastAsia="calibri" w:cs="calibri"/>
          <w:sz w:val="24"/>
          <w:szCs w:val="24"/>
          <w:b/>
        </w:rPr>
        <w:t xml:space="preserve">Czechach</w:t>
      </w:r>
      <w:r>
        <w:rPr>
          <w:rFonts w:ascii="calibri" w:hAnsi="calibri" w:eastAsia="calibri" w:cs="calibri"/>
          <w:sz w:val="24"/>
          <w:szCs w:val="24"/>
        </w:rPr>
        <w:t xml:space="preserve"> (równowartość od 13 do 20 tys. złotych netto +VAT*). Na UoP, we wspomnianych krajach odnotowano bardzo podobne zarobki sięgające w medianie dolnych widełek kwotę lub równowartość 11 tys. złotych brutto, a w medianie górnych widełek 17 tys. (Polska, Ukraina) lub nawet 18 tys. (Czechy). Nieco niższe wynagrodzenia oferowano na Węgrzech – na B2B była to równowartość od 11,5 do 17,8 tys. złotych netto +VAT, a na UoP od 9,8 do 15 tys. złotych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Senior najlepiej zarobi w Ukrainie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– mediana górnych widełek nawet na poziomie 22,3 tys. złotych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poziomie seniorskim</w:t>
      </w:r>
      <w:r>
        <w:rPr>
          <w:rFonts w:ascii="calibri" w:hAnsi="calibri" w:eastAsia="calibri" w:cs="calibri"/>
          <w:sz w:val="24"/>
          <w:szCs w:val="24"/>
        </w:rPr>
        <w:t xml:space="preserve"> znajdziemy jeszcze większe dysproporcje w przypadku Węgier, ale tylko jeśli mowa o Umowach o pracę. W ogłoszeniach z tą formą współpracy pojawiały się wynagrodzenia na poziomie równowartości 12,2 tys.-18,2 tys. złotych brutto, gdy w Polsce i Czechach mediana górnych widełek wyniosła 21 tys. złotych brutto, a w Ukrainie nawet 22,3 tys. złotych brutto. W przypadku umowy B2B wynagrodzenia były dużo bardziej „spłaszczone”. W medianie dolnych widełek były to kwoty zaczynające się od 16 (Czechy) lub 17 tys. złotych netto +VAT (Polska, Ukraina, Węgry), podczas gdy mediana górnych widełek w każdym z krajów oscylowała wokół 25 tys. złotych netto +VAT.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Popularność pracy zdalnej cały czas rośnie. W ubiegłym roku aż 62 proc. ofert było w takim modelu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No Fluff Jobs już 62 proc. ogłoszeń na portalu w Europie Środkowo-Wschodniej dotyczy modelu zdalnego. Porównując z 2021 rokiem, kiedy udział tego typu ofert był na poziomie 53 proc., możemy mówić o blisko 10 punktach procentowych wzrostu. Jednocześnie w 2022 roku pojawiło się również więcej ogłoszeń w modelu hybrydowym, jednak w tym przypadku mamy do czynienia ze wzrostem jedynie z 8 na 10 proc. Natomiast praca stacjonarna odnotowała spadek – w 2021 roku 39 proc. ogłoszeń dotyczyło pracy z biura, a w 2022 roku już tylko 28 proc.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spoza biura w krótkim czasie stała się standardem w IT, a specjaliści i specjalistki mniej chętnie patrzą na oferty, w których jedynym trybem pracy jest ten stacjonarny. To trend przybierający na sile od startu pandemii w 2020 roku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Tomek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Warte podkreślenia jest to, że w ogłoszeniach, które informują o pracy w pełni zdalnej, pojawiają się o 20%-25% wyższe wynagrodzenia niż w tych, gdzie oferowana jest praca stacjonarna lub hybrydowa. To jeszcze bardziej zachęca kandydatów i kandydatki do poszukiwań firmy, która umożliwi im pracę na odległość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Polsce 66 proc. ogłoszeń dotyczy pracy zdalnej, a Czechy z najwyższym, wskaźnikiem pracy hybrydowej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Polsce</w:t>
      </w:r>
      <w:r>
        <w:rPr>
          <w:rFonts w:ascii="calibri" w:hAnsi="calibri" w:eastAsia="calibri" w:cs="calibri"/>
          <w:sz w:val="24"/>
          <w:szCs w:val="24"/>
        </w:rPr>
        <w:t xml:space="preserve"> w 2022 roku tylko co czwarte ogłoszenie IT informowało o pracy stacjonarnej. Ten odsetek spadł o 10 punktów procentowych w porównaniu z 2021. Znacząco zyskała za to praca zdalna, dobijając do udziału na poziomie 66 proc. Patrząc po lokalizacjach, w jakich może być wykonywana praca stacjonarna, z największych ośrodków miejskich na udziale straciła Warszawa (5 p.p. w dół), choć nadal jest najczęstszą lokalizacją podawaną w ogłoszeniach (występuje w 41 proc. ofert), wyprzedzając Kraków – 28 proc. ofert, który w ciągu roku uzyskał wzrost 5 p.p.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Czechach</w:t>
      </w:r>
      <w:r>
        <w:rPr>
          <w:rFonts w:ascii="calibri" w:hAnsi="calibri" w:eastAsia="calibri" w:cs="calibri"/>
          <w:sz w:val="24"/>
          <w:szCs w:val="24"/>
        </w:rPr>
        <w:t xml:space="preserve"> natomiast 29 proc. ogłoszeń o pracy zawiera informację o trybie hybrydowym. To aż 10 p.p. więcej niż rok wcześniej i najwyższy wskaźnik w regionie Europy Środkowo-Wschodniej. Jednocześnie, odsetek ogłoszeń, gdzie mowa o pracy stacjonarnej, spadł radykalnie, o 15 p.p. do poziomu 41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zdalna najczęstszą w Ukrainie (74 proc.), a stacjonarna na Węgrzech (51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w swoim raporcie porównał udział w ogłoszeniach o pracę modelu zdalnego i stacjonarnego w poszczególnych krajach. Jak się okazało najczęściej oferty stacjonarne publikowane są w Ukrainie, gdzie dotyczą one 74 proc. wszystkich ogłoszeń (wzrost o 14 p.p. w ciągu roku). Jednocześnie zauważono, że ubywało ogłoszeń informujących o pracy stacjonarnej w rejonach, które najbardziej dotknięte były wojną. Udział </w:t>
      </w:r>
      <w:r>
        <w:rPr>
          <w:rFonts w:ascii="calibri" w:hAnsi="calibri" w:eastAsia="calibri" w:cs="calibri"/>
          <w:sz w:val="24"/>
          <w:szCs w:val="24"/>
          <w:b/>
        </w:rPr>
        <w:t xml:space="preserve">Kijowa</w:t>
      </w:r>
      <w:r>
        <w:rPr>
          <w:rFonts w:ascii="calibri" w:hAnsi="calibri" w:eastAsia="calibri" w:cs="calibri"/>
          <w:sz w:val="24"/>
          <w:szCs w:val="24"/>
        </w:rPr>
        <w:t xml:space="preserve"> w ogłoszeniach o pracy biurowej spadł w ciągu roku aż o 25 p.p., a </w:t>
      </w:r>
      <w:r>
        <w:rPr>
          <w:rFonts w:ascii="calibri" w:hAnsi="calibri" w:eastAsia="calibri" w:cs="calibri"/>
          <w:sz w:val="24"/>
          <w:szCs w:val="24"/>
          <w:b/>
        </w:rPr>
        <w:t xml:space="preserve">Charkowa</w:t>
      </w:r>
      <w:r>
        <w:rPr>
          <w:rFonts w:ascii="calibri" w:hAnsi="calibri" w:eastAsia="calibri" w:cs="calibri"/>
          <w:sz w:val="24"/>
          <w:szCs w:val="24"/>
        </w:rPr>
        <w:t xml:space="preserve"> o ponad 9 p.p. Więcej ogłoszeń z oznaczeniem pracy stacjonarnej pojawiało się za to we </w:t>
      </w:r>
      <w:r>
        <w:rPr>
          <w:rFonts w:ascii="calibri" w:hAnsi="calibri" w:eastAsia="calibri" w:cs="calibri"/>
          <w:sz w:val="24"/>
          <w:szCs w:val="24"/>
          <w:b/>
        </w:rPr>
        <w:t xml:space="preserve">Lwowie</w:t>
      </w:r>
      <w:r>
        <w:rPr>
          <w:rFonts w:ascii="calibri" w:hAnsi="calibri" w:eastAsia="calibri" w:cs="calibri"/>
          <w:sz w:val="24"/>
          <w:szCs w:val="24"/>
        </w:rPr>
        <w:t xml:space="preserve"> – wzrost o blisko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13 p.p., który mógł być traktowany jako nieco bezpieczniejsza lokalizacja.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krajów regionu, </w:t>
      </w:r>
      <w:r>
        <w:rPr>
          <w:rFonts w:ascii="calibri" w:hAnsi="calibri" w:eastAsia="calibri" w:cs="calibri"/>
          <w:sz w:val="24"/>
          <w:szCs w:val="24"/>
          <w:b/>
        </w:rPr>
        <w:t xml:space="preserve">Węgry</w:t>
      </w:r>
      <w:r>
        <w:rPr>
          <w:rFonts w:ascii="calibri" w:hAnsi="calibri" w:eastAsia="calibri" w:cs="calibri"/>
          <w:sz w:val="24"/>
          <w:szCs w:val="24"/>
        </w:rPr>
        <w:t xml:space="preserve"> są prawdziwym ewenementem. To tutaj wciąż dominującym trybem współpracy, mimo nieznacznego spadku w ciągu roku (4 p.p.), jest ten stacjonarny (51 proc.). Na Węgrzech odnotowano najmniejsze zmiany, jeśli chodzi o tryby pracy w ogłoszeniach. Praca zdalna pozostała na poziomie 24 proc., a ten sam odsetek zanotowano w przypadku pracy hybrydowej (wzrost w ciągu roku o 5 p.p.).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Opieka medyczna, karty sportowe i lekcje języka najpopularniejszymi benefitami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Prywatna opieka medyczna to najczęściej występujący benefit w ogłoszeniach o pracy IT. W 2022 roku pojawił się w 80 proc. ofert i od trzech lat jest niedościgniony w tej kategorii. Karty sportowe (abonamentowe), ułatwiające zapisy na zajęcia związane z aktywnością fizyczną, to drugi popularny benefit w IT, który pojawił się w minionym roku w 73 proc. ofert. Co ciekawe w ciągu roku największy wzrost występowania w porównaniu z 2021 rokiem zanotowały lekcje języka obcego (wzrost udziału z 11 do 15 proc.), ubezpieczenie na życie (9 → 11 proc.), imprezy integracyjne (5 → 8 proc.) i karta lunchowa (5 → 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przetarła szlak dla innych sektorów także w kwestii benefitów i udogodnień. Zacięta walka o kandydata sprawia, że pracodawcy i pracodawczynie nie mogą iść po linii najmniejszego oporu, a muszą zaoferować dodatki, które są pożądane przez osoby pracujące w IT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COO No Fluff Jobs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sensie, sektor technologiczny od lat stanowi pole doświadczalne dla tego, co oprócz wynagrodzenia powinno wchodzić w skład dobrej oferty pracy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udogodnień popularne parkingi i dodatkowy sprzęt do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Parking dla rowerów to, mimo lekkiego spadku w 2022 roku, wciąż bardzo powszechne udogodnienie pojawiające się w ogłoszeniach o pracy. W ubiegłym roku można było znaleźć tę informację w blisko 62 proc. ofert. Natomiast informacja o darmowym parkingu dla samochodów pojawiała się częściej w 2022 roku w porównaniu z rokiem wcześniejszym – wzrost wyniósł 5 punktów procentowych (udział 36 proc.). To pochodna trendu z końcówki 2022 roku, gdy część pracodawców zaczęła zachęcać pracowników do powrotów do biur.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sprzęt udostępniany do pracy, informacja o notebooku/laptopie pojawiała się ponad 9 razy częściej w ogłoszeniach niż wzmianka o jednostce stacjonarnej. Osoby lubiące pracować z 2 monitorami powinny też być zadowolone – co czwarte ogłoszenie informuje o takiej możliwości, a jedynie 10 proc. o możliwym jednym dodatkowym ekranie.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*Do przeliczeń walut użyto kursów uśrednionych NBP z 29.12.2022. Kwoty przedstawiono jako równowartość wynagrodzeń z lokalnych walut, wskazaną w PLN. Wynagrodzenia to mediany dolnych widełek i górnych widełek z ogłoszeń opublikowanych na nofluffjobs.com.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„Rynek pracy IT w 2022 roku” powstał we współpracy No Fluff Jobs z Rockwool GBS, firmą rodzinną z 80-letnią tradycją, która kieruje się wartościami w biznesie i stawia na nieustanny rozwój pracowników(-czek).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można pobrać na tej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https://nofluffjobs.com/insights/raport-rynek-pracy-it-w-2022/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rynek-pracy-it-w-2022/?utm_source=pr_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2024-05-03T21:35:10+02:00</dcterms:created>
  <dcterms:modified xsi:type="dcterms:W3CDTF">2024-05-03T21:35:10+02:00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